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28D908" w14:textId="5667E28E" w:rsidR="003B492E" w:rsidRPr="0014077B" w:rsidRDefault="00676AA1" w:rsidP="00A14735">
      <w:pPr>
        <w:spacing w:after="0" w:line="245" w:lineRule="auto"/>
        <w:jc w:val="center"/>
        <w:rPr>
          <w:rFonts w:ascii="Arial" w:hAnsi="Arial" w:cs="Arial"/>
          <w:b/>
          <w:bCs/>
          <w:color w:val="184CB4"/>
          <w:sz w:val="40"/>
          <w:szCs w:val="40"/>
        </w:rPr>
      </w:pPr>
      <w:r w:rsidRPr="0014077B">
        <w:rPr>
          <w:rFonts w:ascii="Arial" w:hAnsi="Arial" w:cs="Arial"/>
          <w:b/>
          <w:bCs/>
          <w:noProof/>
          <w:sz w:val="28"/>
          <w:szCs w:val="28"/>
          <w:lang w:val="es-US"/>
        </w:rPr>
        <w:drawing>
          <wp:anchor distT="0" distB="0" distL="114300" distR="114300" simplePos="0" relativeHeight="251662336" behindDoc="0" locked="0" layoutInCell="1" allowOverlap="1" wp14:anchorId="79478668" wp14:editId="527021B4">
            <wp:simplePos x="0" y="0"/>
            <wp:positionH relativeFrom="column">
              <wp:posOffset>-552450</wp:posOffset>
            </wp:positionH>
            <wp:positionV relativeFrom="paragraph">
              <wp:posOffset>-632778</wp:posOffset>
            </wp:positionV>
            <wp:extent cx="1452448" cy="904875"/>
            <wp:effectExtent l="0" t="0" r="0" b="0"/>
            <wp:wrapNone/>
            <wp:docPr id="3" name="Picture 2" descr="Logo&#10;&#10;Descripción generada automáticamente">
              <a:extLst xmlns:a="http://schemas.openxmlformats.org/drawingml/2006/main">
                <a:ext uri="{FF2B5EF4-FFF2-40B4-BE49-F238E27FC236}">
                  <a16:creationId xmlns:a16="http://schemas.microsoft.com/office/drawing/2014/main" id="{0C6F507A-3F14-D84E-9DEC-8BD7FB3E66F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Logo&#10;&#10;Description automatically generated">
                      <a:extLst>
                        <a:ext uri="{FF2B5EF4-FFF2-40B4-BE49-F238E27FC236}">
                          <a16:creationId xmlns:a16="http://schemas.microsoft.com/office/drawing/2014/main" id="{0C6F507A-3F14-D84E-9DEC-8BD7FB3E66F9}"/>
                        </a:ext>
                      </a:extLst>
                    </pic:cNvPr>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52448" cy="904875"/>
                    </a:xfrm>
                    <a:prstGeom prst="rect">
                      <a:avLst/>
                    </a:prstGeom>
                  </pic:spPr>
                </pic:pic>
              </a:graphicData>
            </a:graphic>
            <wp14:sizeRelH relativeFrom="margin">
              <wp14:pctWidth>0</wp14:pctWidth>
            </wp14:sizeRelH>
            <wp14:sizeRelV relativeFrom="margin">
              <wp14:pctHeight>0</wp14:pctHeight>
            </wp14:sizeRelV>
          </wp:anchor>
        </w:drawing>
      </w:r>
    </w:p>
    <w:p w14:paraId="3AAD0644" w14:textId="7F96C747" w:rsidR="00EB1375" w:rsidRPr="0014077B" w:rsidRDefault="006F013D" w:rsidP="00A14735">
      <w:pPr>
        <w:spacing w:after="0" w:line="245" w:lineRule="auto"/>
        <w:jc w:val="center"/>
        <w:rPr>
          <w:rFonts w:ascii="Arial" w:hAnsi="Arial" w:cs="Arial"/>
          <w:b/>
          <w:bCs/>
          <w:color w:val="184CB4"/>
          <w:sz w:val="40"/>
          <w:szCs w:val="40"/>
          <w:lang w:val="es-AR"/>
        </w:rPr>
      </w:pPr>
      <w:r w:rsidRPr="0014077B">
        <w:rPr>
          <w:rFonts w:ascii="Arial" w:hAnsi="Arial" w:cs="Arial"/>
          <w:b/>
          <w:bCs/>
          <w:color w:val="184CB4"/>
          <w:sz w:val="40"/>
          <w:szCs w:val="40"/>
          <w:lang w:val="es-US"/>
        </w:rPr>
        <w:t>Seminario web sobre productos biológicos: todas las preguntas</w:t>
      </w:r>
    </w:p>
    <w:p w14:paraId="1A3F0415" w14:textId="77777777" w:rsidR="006F013D" w:rsidRPr="0014077B" w:rsidRDefault="006F013D" w:rsidP="00A14735">
      <w:pPr>
        <w:spacing w:line="245" w:lineRule="auto"/>
        <w:rPr>
          <w:rFonts w:ascii="Arial" w:hAnsi="Arial" w:cs="Arial"/>
          <w:b/>
          <w:bCs/>
          <w:u w:val="single"/>
          <w:lang w:val="es-AR"/>
        </w:rPr>
      </w:pPr>
    </w:p>
    <w:p w14:paraId="1316BF24" w14:textId="38B25880" w:rsidR="00556DA9" w:rsidRPr="0014077B" w:rsidRDefault="005C5BD3" w:rsidP="00A14735">
      <w:pPr>
        <w:spacing w:line="245" w:lineRule="auto"/>
        <w:rPr>
          <w:rFonts w:ascii="Arial" w:hAnsi="Arial" w:cs="Arial"/>
          <w:b/>
          <w:bCs/>
          <w:color w:val="184CB4"/>
          <w:sz w:val="28"/>
          <w:szCs w:val="28"/>
          <w:lang w:val="es-AR"/>
        </w:rPr>
      </w:pPr>
      <w:r w:rsidRPr="0014077B">
        <w:rPr>
          <w:rFonts w:ascii="Arial" w:hAnsi="Arial" w:cs="Arial"/>
          <w:b/>
          <w:bCs/>
          <w:color w:val="184CB4"/>
          <w:sz w:val="28"/>
          <w:szCs w:val="28"/>
          <w:lang w:val="es-US"/>
        </w:rPr>
        <w:t>Introducción a los productos biológicos</w:t>
      </w:r>
    </w:p>
    <w:p w14:paraId="39EE6125" w14:textId="2A3374DB" w:rsidR="006F013D" w:rsidRPr="0014077B" w:rsidRDefault="006F013D" w:rsidP="00A14735">
      <w:pPr>
        <w:spacing w:after="120" w:line="245" w:lineRule="auto"/>
        <w:rPr>
          <w:rFonts w:ascii="Arial" w:hAnsi="Arial" w:cs="Arial"/>
          <w:b/>
          <w:bCs/>
          <w:color w:val="7030A0"/>
          <w:u w:val="single"/>
          <w:lang w:val="es-AR"/>
        </w:rPr>
      </w:pPr>
      <w:r w:rsidRPr="0014077B">
        <w:rPr>
          <w:rFonts w:ascii="Arial" w:hAnsi="Arial" w:cs="Arial"/>
          <w:b/>
          <w:bCs/>
          <w:color w:val="7030A0"/>
          <w:lang w:val="es-US"/>
        </w:rPr>
        <w:t>¿Qué es un producto biológico?</w:t>
      </w:r>
    </w:p>
    <w:p w14:paraId="0911970B" w14:textId="77777777" w:rsidR="006F013D" w:rsidRPr="0014077B" w:rsidRDefault="006F013D" w:rsidP="00A14735">
      <w:pPr>
        <w:spacing w:line="245" w:lineRule="auto"/>
        <w:rPr>
          <w:rFonts w:ascii="Arial" w:hAnsi="Arial" w:cs="Arial"/>
          <w:lang w:val="es-AR"/>
        </w:rPr>
      </w:pPr>
      <w:r w:rsidRPr="0014077B">
        <w:rPr>
          <w:rFonts w:ascii="Arial" w:hAnsi="Arial" w:cs="Arial"/>
          <w:lang w:val="es-US"/>
        </w:rPr>
        <w:t>A diferencia de los medicamentos “químicos”, los productos biológicos se fabrican a partir de proteínas producidas por células vivas. La mayoría son anticuerpos que imitan cómo el sistema inmunitario reconoce virus y otras infecciones. Los primeros productos biológicos solían contener, en parte, proteínas no humanas; sin embargo, ahora, la mayoría incluye proteínas exclusivamente humanas.</w:t>
      </w:r>
    </w:p>
    <w:p w14:paraId="02DC493B" w14:textId="77777777" w:rsidR="006F013D" w:rsidRPr="0014077B" w:rsidRDefault="006F013D" w:rsidP="00A14735">
      <w:pPr>
        <w:spacing w:after="120" w:line="245" w:lineRule="auto"/>
        <w:rPr>
          <w:rFonts w:ascii="Arial" w:hAnsi="Arial" w:cs="Arial"/>
          <w:b/>
          <w:bCs/>
          <w:color w:val="7030A0"/>
          <w:lang w:val="es-AR"/>
        </w:rPr>
      </w:pPr>
      <w:r w:rsidRPr="0014077B">
        <w:rPr>
          <w:rFonts w:ascii="Arial" w:hAnsi="Arial" w:cs="Arial"/>
          <w:b/>
          <w:bCs/>
          <w:color w:val="7030A0"/>
          <w:lang w:val="es-US"/>
        </w:rPr>
        <w:t>¿En qué se diferencian los productos biológicos de otros tratamientos?</w:t>
      </w:r>
    </w:p>
    <w:p w14:paraId="57F213CE" w14:textId="77777777" w:rsidR="006F013D" w:rsidRPr="0014077B" w:rsidRDefault="006F013D" w:rsidP="00A14735">
      <w:pPr>
        <w:spacing w:line="245" w:lineRule="auto"/>
        <w:rPr>
          <w:rFonts w:ascii="Arial" w:hAnsi="Arial" w:cs="Arial"/>
          <w:lang w:val="es-AR"/>
        </w:rPr>
      </w:pPr>
      <w:r w:rsidRPr="0014077B">
        <w:rPr>
          <w:rFonts w:ascii="Arial" w:hAnsi="Arial" w:cs="Arial"/>
          <w:lang w:val="es-US"/>
        </w:rPr>
        <w:t>Los productos biológicos son molecularmente mucho más grandes que los medicamentos químicos y no suelen interactuar con ellos. Pueden viajar por el cuerpo como los propios anticuerpos. Dado que están hechos de proteínas, los ácidos del estómago los descomponen; por lo tanto, se suelen administrar mediante inyección o infusión en el hogar en lugar de tomarse por vía oral.</w:t>
      </w:r>
    </w:p>
    <w:p w14:paraId="7CEEA897" w14:textId="77777777" w:rsidR="006F013D" w:rsidRPr="0014077B" w:rsidRDefault="006F013D" w:rsidP="00A14735">
      <w:pPr>
        <w:spacing w:after="120" w:line="245" w:lineRule="auto"/>
        <w:rPr>
          <w:rFonts w:ascii="Arial" w:hAnsi="Arial" w:cs="Arial"/>
          <w:b/>
          <w:bCs/>
          <w:color w:val="7030A0"/>
          <w:lang w:val="es-AR"/>
        </w:rPr>
      </w:pPr>
      <w:r w:rsidRPr="0014077B">
        <w:rPr>
          <w:rFonts w:ascii="Arial" w:hAnsi="Arial" w:cs="Arial"/>
          <w:b/>
          <w:bCs/>
          <w:color w:val="7030A0"/>
          <w:lang w:val="es-US"/>
        </w:rPr>
        <w:t>¿Para quiénes se indican los productos biológicos?</w:t>
      </w:r>
    </w:p>
    <w:p w14:paraId="625355FD" w14:textId="023C01BB" w:rsidR="006F013D" w:rsidRPr="0014077B" w:rsidRDefault="006F013D" w:rsidP="00A14735">
      <w:pPr>
        <w:spacing w:line="245" w:lineRule="auto"/>
        <w:rPr>
          <w:rFonts w:ascii="Arial" w:hAnsi="Arial" w:cs="Arial"/>
          <w:lang w:val="es-AR"/>
        </w:rPr>
      </w:pPr>
      <w:r w:rsidRPr="0014077B">
        <w:rPr>
          <w:rFonts w:ascii="Arial" w:hAnsi="Arial" w:cs="Arial"/>
          <w:lang w:val="es-US"/>
        </w:rPr>
        <w:t xml:space="preserve">Los productos biológicos se usan para tratar diferentes afecciones, por lo que su indicación depende de la afección en particular que tenga el paciente. El </w:t>
      </w:r>
      <w:proofErr w:type="spellStart"/>
      <w:r w:rsidRPr="0014077B">
        <w:rPr>
          <w:rFonts w:ascii="Arial" w:hAnsi="Arial" w:cs="Arial"/>
          <w:lang w:val="es-US"/>
        </w:rPr>
        <w:t>adalimumab</w:t>
      </w:r>
      <w:proofErr w:type="spellEnd"/>
      <w:r w:rsidRPr="0014077B">
        <w:rPr>
          <w:rFonts w:ascii="Arial" w:hAnsi="Arial" w:cs="Arial"/>
          <w:lang w:val="es-US"/>
        </w:rPr>
        <w:t xml:space="preserve">, así como la mayoría de los demás medicamentos indicados para la </w:t>
      </w:r>
      <w:proofErr w:type="spellStart"/>
      <w:r w:rsidRPr="0014077B">
        <w:rPr>
          <w:rFonts w:ascii="Arial" w:hAnsi="Arial" w:cs="Arial"/>
          <w:lang w:val="es-US"/>
        </w:rPr>
        <w:t>hidradenitis</w:t>
      </w:r>
      <w:proofErr w:type="spellEnd"/>
      <w:r w:rsidRPr="0014077B">
        <w:rPr>
          <w:rFonts w:ascii="Arial" w:hAnsi="Arial" w:cs="Arial"/>
          <w:lang w:val="es-US"/>
        </w:rPr>
        <w:t xml:space="preserve"> supurativa (HS), se han estudiado en pacientes con HS “de moderada a severa”. Sin embargo, algunos productos biológicos no son adecuados para todos; por ejemplo, los inhibidores del factor de necrosis tumoral (TNF), como el </w:t>
      </w:r>
      <w:proofErr w:type="spellStart"/>
      <w:r w:rsidRPr="0014077B">
        <w:rPr>
          <w:rFonts w:ascii="Arial" w:hAnsi="Arial" w:cs="Arial"/>
          <w:lang w:val="es-US"/>
        </w:rPr>
        <w:t>adalimumab</w:t>
      </w:r>
      <w:proofErr w:type="spellEnd"/>
      <w:r w:rsidRPr="0014077B">
        <w:rPr>
          <w:rFonts w:ascii="Arial" w:hAnsi="Arial" w:cs="Arial"/>
          <w:lang w:val="es-US"/>
        </w:rPr>
        <w:t>, no se indican para pacientes que tienen insuficiencia cardíaca y algunas otras afecciones, mientras que los inhibidores de la interleucina-17 (IL-17) no deben usarse en pacientes con antecedentes de enfermedad inflamatoria intestinal.</w:t>
      </w:r>
    </w:p>
    <w:p w14:paraId="3216C69E" w14:textId="77777777" w:rsidR="006F013D" w:rsidRPr="0014077B" w:rsidRDefault="006F013D" w:rsidP="00A14735">
      <w:pPr>
        <w:spacing w:after="120" w:line="245" w:lineRule="auto"/>
        <w:rPr>
          <w:rFonts w:ascii="Arial" w:hAnsi="Arial" w:cs="Arial"/>
          <w:b/>
          <w:bCs/>
          <w:color w:val="7030A0"/>
          <w:lang w:val="es-AR"/>
        </w:rPr>
      </w:pPr>
      <w:r w:rsidRPr="0014077B">
        <w:rPr>
          <w:rFonts w:ascii="Arial" w:hAnsi="Arial" w:cs="Arial"/>
          <w:b/>
          <w:bCs/>
          <w:color w:val="7030A0"/>
          <w:lang w:val="es-US"/>
        </w:rPr>
        <w:t>¿Cuál es el tiempo de mejora después de recibir tratamiento con un producto biológico?</w:t>
      </w:r>
    </w:p>
    <w:p w14:paraId="2ECE70F8" w14:textId="77777777" w:rsidR="006F013D" w:rsidRPr="0014077B" w:rsidRDefault="006F013D" w:rsidP="00A14735">
      <w:pPr>
        <w:spacing w:line="245" w:lineRule="auto"/>
        <w:rPr>
          <w:rFonts w:ascii="Arial" w:hAnsi="Arial" w:cs="Arial"/>
          <w:lang w:val="es-AR"/>
        </w:rPr>
      </w:pPr>
      <w:r w:rsidRPr="0014077B">
        <w:rPr>
          <w:rFonts w:ascii="Arial" w:hAnsi="Arial" w:cs="Arial"/>
          <w:lang w:val="es-US"/>
        </w:rPr>
        <w:t>Las tasas de respuesta pueden variar según el medicamento y la afección en particular que se esté tratando. El tiempo para notar una mejora puede ser tan rápido como dos semanas, o bien prolongarse por hasta tres a seis meses.</w:t>
      </w:r>
    </w:p>
    <w:p w14:paraId="40D09E34" w14:textId="77777777" w:rsidR="006F013D" w:rsidRPr="0014077B" w:rsidRDefault="006F013D" w:rsidP="00A14735">
      <w:pPr>
        <w:spacing w:after="120" w:line="245" w:lineRule="auto"/>
        <w:rPr>
          <w:rFonts w:ascii="Arial" w:hAnsi="Arial" w:cs="Arial"/>
          <w:b/>
          <w:bCs/>
          <w:color w:val="7030A0"/>
          <w:lang w:val="es-AR"/>
        </w:rPr>
      </w:pPr>
      <w:r w:rsidRPr="0014077B">
        <w:rPr>
          <w:rFonts w:ascii="Arial" w:hAnsi="Arial" w:cs="Arial"/>
          <w:b/>
          <w:bCs/>
          <w:color w:val="7030A0"/>
          <w:lang w:val="es-US"/>
        </w:rPr>
        <w:t>¿Cuáles son los riesgos y los beneficios de los productos biológicos?</w:t>
      </w:r>
    </w:p>
    <w:p w14:paraId="4D16523C" w14:textId="72C17481" w:rsidR="006F013D" w:rsidRPr="0014077B" w:rsidRDefault="006F013D" w:rsidP="00A14735">
      <w:pPr>
        <w:spacing w:line="245" w:lineRule="auto"/>
        <w:rPr>
          <w:rFonts w:ascii="Arial" w:hAnsi="Arial" w:cs="Arial"/>
          <w:lang w:val="es-AR"/>
        </w:rPr>
      </w:pPr>
      <w:r w:rsidRPr="0014077B">
        <w:rPr>
          <w:rFonts w:ascii="Arial" w:hAnsi="Arial" w:cs="Arial"/>
          <w:lang w:val="es-US"/>
        </w:rPr>
        <w:t xml:space="preserve">Los beneficios incluyen controlar y prevenir el empeoramiento de la HS, mejorar los síntomas, evitar la necesidad de cirugía y la aparición de complicaciones futuras y de efectos secundarios que generalmente son reversibles (es decir, no permanentes). Sin embargo, los factores de riesgo incluyen la aparición de efectos secundarios, la administración mediante inyección, la asequibilidad y la necesidad de considerar otras afecciones existentes. </w:t>
      </w:r>
    </w:p>
    <w:p w14:paraId="6C5D9C77" w14:textId="790BE181" w:rsidR="006F013D" w:rsidRPr="0014077B" w:rsidRDefault="006F013D" w:rsidP="00A14735">
      <w:pPr>
        <w:spacing w:after="120" w:line="245" w:lineRule="auto"/>
        <w:rPr>
          <w:rFonts w:ascii="Arial" w:hAnsi="Arial" w:cs="Arial"/>
          <w:b/>
          <w:bCs/>
          <w:color w:val="7030A0"/>
          <w:lang w:val="es-AR"/>
        </w:rPr>
      </w:pPr>
      <w:r w:rsidRPr="0014077B">
        <w:rPr>
          <w:rFonts w:ascii="Arial" w:hAnsi="Arial" w:cs="Arial"/>
          <w:b/>
          <w:bCs/>
          <w:color w:val="7030A0"/>
          <w:lang w:val="es-US"/>
        </w:rPr>
        <w:t>¿Cuáles son algunos efectos secundarios frecuentes de los productos biológicos?</w:t>
      </w:r>
    </w:p>
    <w:p w14:paraId="5E4864CF" w14:textId="2827FE97" w:rsidR="006F013D" w:rsidRPr="0014077B" w:rsidRDefault="006F013D" w:rsidP="00A14735">
      <w:pPr>
        <w:spacing w:after="0" w:line="245" w:lineRule="auto"/>
        <w:rPr>
          <w:rFonts w:ascii="Arial" w:hAnsi="Arial" w:cs="Arial"/>
          <w:lang w:val="es-AR"/>
        </w:rPr>
      </w:pPr>
      <w:r w:rsidRPr="0014077B">
        <w:rPr>
          <w:rFonts w:ascii="Arial" w:hAnsi="Arial" w:cs="Arial"/>
          <w:lang w:val="es-US"/>
        </w:rPr>
        <w:t>Aunque los efectos secundarios varían según los diferentes medicamentos, los efectos secundarios frecuentes incluyen lo siguiente:</w:t>
      </w:r>
    </w:p>
    <w:p w14:paraId="1A50427A" w14:textId="1298E52C" w:rsidR="006F013D" w:rsidRPr="0014077B" w:rsidRDefault="006F013D" w:rsidP="00A14735">
      <w:pPr>
        <w:numPr>
          <w:ilvl w:val="0"/>
          <w:numId w:val="1"/>
        </w:numPr>
        <w:spacing w:after="0" w:line="245" w:lineRule="auto"/>
        <w:rPr>
          <w:rFonts w:ascii="Arial" w:hAnsi="Arial" w:cs="Arial"/>
          <w:lang w:val="es-AR"/>
        </w:rPr>
      </w:pPr>
      <w:r w:rsidRPr="0014077B">
        <w:rPr>
          <w:rFonts w:ascii="Arial" w:hAnsi="Arial" w:cs="Arial"/>
          <w:lang w:val="es-US"/>
        </w:rPr>
        <w:t>Dolor/reacción en el lugar de la inyección</w:t>
      </w:r>
    </w:p>
    <w:p w14:paraId="1412FDAB" w14:textId="5C6342BB" w:rsidR="006F013D" w:rsidRPr="0014077B" w:rsidRDefault="006F013D" w:rsidP="00A14735">
      <w:pPr>
        <w:numPr>
          <w:ilvl w:val="0"/>
          <w:numId w:val="1"/>
        </w:numPr>
        <w:spacing w:after="0" w:line="245" w:lineRule="auto"/>
        <w:rPr>
          <w:rFonts w:ascii="Arial" w:hAnsi="Arial" w:cs="Arial"/>
        </w:rPr>
      </w:pPr>
      <w:r w:rsidRPr="0014077B">
        <w:rPr>
          <w:rFonts w:ascii="Arial" w:hAnsi="Arial" w:cs="Arial"/>
          <w:lang w:val="es-US"/>
        </w:rPr>
        <w:lastRenderedPageBreak/>
        <w:t>Riesgo de infección</w:t>
      </w:r>
    </w:p>
    <w:p w14:paraId="379A3734" w14:textId="063FFD83" w:rsidR="006F013D" w:rsidRPr="0014077B" w:rsidRDefault="006F013D" w:rsidP="00A14735">
      <w:pPr>
        <w:numPr>
          <w:ilvl w:val="0"/>
          <w:numId w:val="1"/>
        </w:numPr>
        <w:spacing w:after="0" w:line="245" w:lineRule="auto"/>
        <w:rPr>
          <w:rFonts w:ascii="Arial" w:hAnsi="Arial" w:cs="Arial"/>
        </w:rPr>
      </w:pPr>
      <w:r w:rsidRPr="0014077B">
        <w:rPr>
          <w:rFonts w:ascii="Arial" w:hAnsi="Arial" w:cs="Arial"/>
          <w:lang w:val="es-US"/>
        </w:rPr>
        <w:t>Activación de la tuberculosis</w:t>
      </w:r>
    </w:p>
    <w:p w14:paraId="32449491" w14:textId="6F3AE36D" w:rsidR="006F013D" w:rsidRPr="0014077B" w:rsidRDefault="006F013D" w:rsidP="00A14735">
      <w:pPr>
        <w:numPr>
          <w:ilvl w:val="0"/>
          <w:numId w:val="1"/>
        </w:numPr>
        <w:spacing w:after="0" w:line="245" w:lineRule="auto"/>
        <w:rPr>
          <w:rFonts w:ascii="Arial" w:hAnsi="Arial" w:cs="Arial"/>
          <w:lang w:val="es-AR"/>
        </w:rPr>
      </w:pPr>
      <w:r w:rsidRPr="0014077B">
        <w:rPr>
          <w:rFonts w:ascii="Arial" w:hAnsi="Arial" w:cs="Arial"/>
          <w:lang w:val="es-US"/>
        </w:rPr>
        <w:t>Para los inhibidores del TNF, hay un recuadro de advertencia para el riesgo de linfoma</w:t>
      </w:r>
    </w:p>
    <w:p w14:paraId="73CA7A6F" w14:textId="3CDF4442" w:rsidR="00556DA9" w:rsidRPr="0014077B" w:rsidRDefault="006F013D" w:rsidP="00A14735">
      <w:pPr>
        <w:numPr>
          <w:ilvl w:val="0"/>
          <w:numId w:val="1"/>
        </w:numPr>
        <w:spacing w:after="0" w:line="245" w:lineRule="auto"/>
        <w:rPr>
          <w:rFonts w:ascii="Arial" w:hAnsi="Arial" w:cs="Arial"/>
          <w:lang w:val="es-AR"/>
        </w:rPr>
      </w:pPr>
      <w:r w:rsidRPr="0014077B">
        <w:rPr>
          <w:rFonts w:ascii="Arial" w:hAnsi="Arial" w:cs="Arial"/>
          <w:lang w:val="es-US"/>
        </w:rPr>
        <w:t>Factores que influyen en los efectos secundarios: antecedentes de cáncer, enfermedad inflamatoria intestinal, insuficiencia cardíaca congestiva</w:t>
      </w:r>
    </w:p>
    <w:p w14:paraId="57CD8340" w14:textId="7BCE64EA" w:rsidR="003B492E" w:rsidRPr="0014077B" w:rsidRDefault="003B492E" w:rsidP="00A14735">
      <w:pPr>
        <w:spacing w:after="0" w:line="245" w:lineRule="auto"/>
        <w:rPr>
          <w:rFonts w:ascii="Arial" w:hAnsi="Arial" w:cs="Arial"/>
          <w:lang w:val="es-AR"/>
        </w:rPr>
      </w:pPr>
    </w:p>
    <w:p w14:paraId="47E19963" w14:textId="1391B4B0" w:rsidR="006F013D" w:rsidRPr="0014077B" w:rsidRDefault="006F013D" w:rsidP="00A14735">
      <w:pPr>
        <w:spacing w:after="120" w:line="245" w:lineRule="auto"/>
        <w:rPr>
          <w:rFonts w:ascii="Arial" w:hAnsi="Arial" w:cs="Arial"/>
          <w:b/>
          <w:bCs/>
          <w:color w:val="7030A0"/>
          <w:lang w:val="es-AR"/>
        </w:rPr>
      </w:pPr>
      <w:r w:rsidRPr="0014077B">
        <w:rPr>
          <w:rFonts w:ascii="Arial" w:hAnsi="Arial" w:cs="Arial"/>
          <w:b/>
          <w:bCs/>
          <w:color w:val="7030A0"/>
          <w:lang w:val="es-US"/>
        </w:rPr>
        <w:t>¿Los productos biológicos pueden perder su eficacia con el tiempo?</w:t>
      </w:r>
    </w:p>
    <w:p w14:paraId="34C63838" w14:textId="49D7E471" w:rsidR="006F013D" w:rsidRPr="0014077B" w:rsidRDefault="006F013D" w:rsidP="00A14735">
      <w:pPr>
        <w:spacing w:line="245" w:lineRule="auto"/>
        <w:rPr>
          <w:rFonts w:ascii="Arial" w:hAnsi="Arial" w:cs="Arial"/>
          <w:lang w:val="es-AR"/>
        </w:rPr>
      </w:pPr>
      <w:r w:rsidRPr="0014077B">
        <w:rPr>
          <w:rFonts w:ascii="Arial" w:hAnsi="Arial" w:cs="Arial"/>
          <w:lang w:val="es-US"/>
        </w:rPr>
        <w:t>Algunos pacientes que reciben tratamiento con productos biológicos y que tienen una muy buena respuesta inicial al tratamiento, pueden sufrir la pérdida total o parcial de esa respuesta con el tiempo.</w:t>
      </w:r>
      <w:r w:rsidR="00A14735" w:rsidRPr="0014077B">
        <w:rPr>
          <w:rFonts w:ascii="Arial" w:hAnsi="Arial" w:cs="Arial"/>
          <w:lang w:val="es-US"/>
        </w:rPr>
        <w:t xml:space="preserve"> </w:t>
      </w:r>
      <w:r w:rsidRPr="0014077B">
        <w:rPr>
          <w:rFonts w:ascii="Arial" w:hAnsi="Arial" w:cs="Arial"/>
          <w:lang w:val="es-US"/>
        </w:rPr>
        <w:t>No hay una explicación satisfactoria de por qué sucede esto en algunos pacientes.</w:t>
      </w:r>
      <w:r w:rsidR="00A14735" w:rsidRPr="0014077B">
        <w:rPr>
          <w:rFonts w:ascii="Arial" w:hAnsi="Arial" w:cs="Arial"/>
          <w:lang w:val="es-US"/>
        </w:rPr>
        <w:t xml:space="preserve"> </w:t>
      </w:r>
      <w:r w:rsidRPr="0014077B">
        <w:rPr>
          <w:rFonts w:ascii="Arial" w:hAnsi="Arial" w:cs="Arial"/>
          <w:lang w:val="es-US"/>
        </w:rPr>
        <w:t>Es posible que ciertos pacientes cuya respuesta desaparece con el tiempo desarrollen anticuerpos o inmunidad contra el producto biológico. En otros pacientes, es posible que la HS cambie con el tiempo y ya no responda tan bien al producto biológico que el paciente esté recibiendo.</w:t>
      </w:r>
    </w:p>
    <w:p w14:paraId="6BDC4089" w14:textId="77777777" w:rsidR="006F013D" w:rsidRPr="0014077B" w:rsidRDefault="006F013D" w:rsidP="00A14735">
      <w:pPr>
        <w:spacing w:after="120" w:line="245" w:lineRule="auto"/>
        <w:rPr>
          <w:rFonts w:ascii="Arial" w:hAnsi="Arial" w:cs="Arial"/>
          <w:b/>
          <w:bCs/>
          <w:color w:val="7030A0"/>
          <w:lang w:val="es-AR"/>
        </w:rPr>
      </w:pPr>
      <w:r w:rsidRPr="0014077B">
        <w:rPr>
          <w:rFonts w:ascii="Arial" w:hAnsi="Arial" w:cs="Arial"/>
          <w:b/>
          <w:bCs/>
          <w:color w:val="7030A0"/>
          <w:lang w:val="es-US"/>
        </w:rPr>
        <w:t>¿Cuál es el momento adecuado para usar un producto biológico? ¿Existe un “momento oportuno” durante el cual sea más beneficioso usar un producto biológico?</w:t>
      </w:r>
    </w:p>
    <w:p w14:paraId="7BA4B683" w14:textId="47FB0FB4" w:rsidR="006F013D" w:rsidRPr="0014077B" w:rsidRDefault="006F013D" w:rsidP="00A14735">
      <w:pPr>
        <w:spacing w:line="245" w:lineRule="auto"/>
        <w:rPr>
          <w:rFonts w:ascii="Arial" w:hAnsi="Arial" w:cs="Arial"/>
          <w:lang w:val="es-AR"/>
        </w:rPr>
      </w:pPr>
      <w:r w:rsidRPr="0014077B">
        <w:rPr>
          <w:rFonts w:ascii="Arial" w:hAnsi="Arial" w:cs="Arial"/>
          <w:lang w:val="es-US"/>
        </w:rPr>
        <w:t>Cuando los pacientes tienen brotes de actividad de la enfermedad, esto puede provocar daños permanentes en la piel (como cicatrices).</w:t>
      </w:r>
      <w:r w:rsidR="00A14735" w:rsidRPr="0014077B">
        <w:rPr>
          <w:rFonts w:ascii="Arial" w:hAnsi="Arial" w:cs="Arial"/>
          <w:lang w:val="es-US"/>
        </w:rPr>
        <w:t xml:space="preserve"> </w:t>
      </w:r>
      <w:r w:rsidRPr="0014077B">
        <w:rPr>
          <w:rFonts w:ascii="Arial" w:hAnsi="Arial" w:cs="Arial"/>
          <w:lang w:val="es-US"/>
        </w:rPr>
        <w:t>Este daño también puede afectar la calidad de vida a largo plazo (por ejemplo, tener muchas cicatrices debajo de la axila puede limitar cuánto se puede levantar el brazo).</w:t>
      </w:r>
      <w:r w:rsidR="00A14735" w:rsidRPr="0014077B">
        <w:rPr>
          <w:rFonts w:ascii="Arial" w:hAnsi="Arial" w:cs="Arial"/>
          <w:lang w:val="es-US"/>
        </w:rPr>
        <w:t xml:space="preserve"> </w:t>
      </w:r>
      <w:r w:rsidRPr="0014077B">
        <w:rPr>
          <w:rFonts w:ascii="Arial" w:hAnsi="Arial" w:cs="Arial"/>
          <w:lang w:val="es-US"/>
        </w:rPr>
        <w:t xml:space="preserve">La idea que subyace el concepto de “momento oportuno” es que resulta valioso iniciar un tratamiento eficaz </w:t>
      </w:r>
      <w:r w:rsidRPr="0014077B">
        <w:rPr>
          <w:rFonts w:ascii="Arial" w:hAnsi="Arial" w:cs="Arial"/>
          <w:i/>
          <w:iCs/>
          <w:lang w:val="es-US"/>
        </w:rPr>
        <w:t xml:space="preserve">antes </w:t>
      </w:r>
      <w:r w:rsidRPr="0014077B">
        <w:rPr>
          <w:rFonts w:ascii="Arial" w:hAnsi="Arial" w:cs="Arial"/>
          <w:lang w:val="es-US"/>
        </w:rPr>
        <w:t>de que se produzcan daños, de modo que se prevengan efectos permanentes en la calidad de vida.</w:t>
      </w:r>
    </w:p>
    <w:p w14:paraId="78FAAB69" w14:textId="70F45865" w:rsidR="006F013D" w:rsidRPr="0014077B" w:rsidRDefault="006F013D" w:rsidP="00A14735">
      <w:pPr>
        <w:spacing w:after="120" w:line="245" w:lineRule="auto"/>
        <w:rPr>
          <w:rFonts w:ascii="Arial" w:hAnsi="Arial" w:cs="Arial"/>
          <w:b/>
          <w:bCs/>
          <w:color w:val="7030A0"/>
          <w:lang w:val="es-AR"/>
        </w:rPr>
      </w:pPr>
      <w:r w:rsidRPr="0014077B">
        <w:rPr>
          <w:rFonts w:ascii="Arial" w:hAnsi="Arial" w:cs="Arial"/>
          <w:b/>
          <w:bCs/>
          <w:color w:val="7030A0"/>
          <w:lang w:val="es-US"/>
        </w:rPr>
        <w:t>¿El medicamento se llama producto biológico?</w:t>
      </w:r>
      <w:r w:rsidR="00A14735" w:rsidRPr="0014077B">
        <w:rPr>
          <w:rFonts w:ascii="Arial" w:hAnsi="Arial" w:cs="Arial"/>
          <w:b/>
          <w:bCs/>
          <w:color w:val="7030A0"/>
          <w:lang w:val="es-US"/>
        </w:rPr>
        <w:t xml:space="preserve"> </w:t>
      </w:r>
      <w:r w:rsidRPr="0014077B">
        <w:rPr>
          <w:rFonts w:ascii="Arial" w:hAnsi="Arial" w:cs="Arial"/>
          <w:b/>
          <w:bCs/>
          <w:color w:val="7030A0"/>
          <w:lang w:val="es-US"/>
        </w:rPr>
        <w:t>¿Cómo debo pedírselo al médico?</w:t>
      </w:r>
    </w:p>
    <w:p w14:paraId="36CB9599" w14:textId="36701A74" w:rsidR="003B492E" w:rsidRPr="0014077B" w:rsidRDefault="006F013D" w:rsidP="00A14735">
      <w:pPr>
        <w:spacing w:line="245" w:lineRule="auto"/>
        <w:rPr>
          <w:rFonts w:ascii="Arial" w:hAnsi="Arial" w:cs="Arial"/>
          <w:shd w:val="clear" w:color="auto" w:fill="FFFFFF"/>
          <w:lang w:val="es-AR"/>
        </w:rPr>
      </w:pPr>
      <w:r w:rsidRPr="0014077B">
        <w:rPr>
          <w:rFonts w:ascii="Arial" w:hAnsi="Arial" w:cs="Arial"/>
          <w:shd w:val="clear" w:color="auto" w:fill="FFFFFF"/>
          <w:lang w:val="es-US"/>
        </w:rPr>
        <w:t>El término “producto biológico” no es el nombre de un medicamento específico, sino que se refiere a los medicamentos que se fabrican o se extraen de fuentes biológicas. El proveedor de atención médica debería conocer a qué se refiere la palabra “producto biológico”.</w:t>
      </w:r>
      <w:r w:rsidR="00A14735" w:rsidRPr="0014077B">
        <w:rPr>
          <w:rFonts w:ascii="Arial" w:hAnsi="Arial" w:cs="Arial"/>
          <w:shd w:val="clear" w:color="auto" w:fill="FFFFFF"/>
          <w:lang w:val="es-US"/>
        </w:rPr>
        <w:t xml:space="preserve"> </w:t>
      </w:r>
      <w:r w:rsidRPr="0014077B">
        <w:rPr>
          <w:rFonts w:ascii="Arial" w:hAnsi="Arial" w:cs="Arial"/>
          <w:shd w:val="clear" w:color="auto" w:fill="FFFFFF"/>
          <w:lang w:val="es-US"/>
        </w:rPr>
        <w:t>Si está interesado en saber más al respecto, simplemente puede preguntarle al proveedor de atención médica acerca de los productos biológicos.</w:t>
      </w:r>
      <w:r w:rsidR="00A14735" w:rsidRPr="0014077B">
        <w:rPr>
          <w:rFonts w:ascii="Arial" w:hAnsi="Arial" w:cs="Arial"/>
          <w:shd w:val="clear" w:color="auto" w:fill="FFFFFF"/>
          <w:lang w:val="es-US"/>
        </w:rPr>
        <w:t xml:space="preserve"> </w:t>
      </w:r>
      <w:r w:rsidRPr="0014077B">
        <w:rPr>
          <w:rFonts w:ascii="Arial" w:hAnsi="Arial" w:cs="Arial"/>
          <w:shd w:val="clear" w:color="auto" w:fill="FFFFFF"/>
          <w:lang w:val="es-US"/>
        </w:rPr>
        <w:t xml:space="preserve">Como alternativa, podría consultar sobre los nombres genéricos (por ejemplo, </w:t>
      </w:r>
      <w:proofErr w:type="spellStart"/>
      <w:r w:rsidRPr="0014077B">
        <w:rPr>
          <w:rFonts w:ascii="Arial" w:hAnsi="Arial" w:cs="Arial"/>
          <w:shd w:val="clear" w:color="auto" w:fill="FFFFFF"/>
          <w:lang w:val="es-US"/>
        </w:rPr>
        <w:t>adalimumab</w:t>
      </w:r>
      <w:proofErr w:type="spellEnd"/>
      <w:r w:rsidRPr="0014077B">
        <w:rPr>
          <w:rFonts w:ascii="Arial" w:hAnsi="Arial" w:cs="Arial"/>
          <w:shd w:val="clear" w:color="auto" w:fill="FFFFFF"/>
          <w:lang w:val="es-US"/>
        </w:rPr>
        <w:t xml:space="preserve">, </w:t>
      </w:r>
      <w:proofErr w:type="spellStart"/>
      <w:r w:rsidRPr="0014077B">
        <w:rPr>
          <w:rFonts w:ascii="Arial" w:hAnsi="Arial" w:cs="Arial"/>
          <w:shd w:val="clear" w:color="auto" w:fill="FFFFFF"/>
          <w:lang w:val="es-US"/>
        </w:rPr>
        <w:t>infliximab</w:t>
      </w:r>
      <w:proofErr w:type="spellEnd"/>
      <w:r w:rsidRPr="0014077B">
        <w:rPr>
          <w:rFonts w:ascii="Arial" w:hAnsi="Arial" w:cs="Arial"/>
          <w:shd w:val="clear" w:color="auto" w:fill="FFFFFF"/>
          <w:lang w:val="es-US"/>
        </w:rPr>
        <w:t xml:space="preserve"> o </w:t>
      </w:r>
      <w:proofErr w:type="spellStart"/>
      <w:r w:rsidRPr="0014077B">
        <w:rPr>
          <w:rFonts w:ascii="Arial" w:hAnsi="Arial" w:cs="Arial"/>
          <w:shd w:val="clear" w:color="auto" w:fill="FFFFFF"/>
          <w:lang w:val="es-US"/>
        </w:rPr>
        <w:t>secukinumab</w:t>
      </w:r>
      <w:proofErr w:type="spellEnd"/>
      <w:r w:rsidRPr="0014077B">
        <w:rPr>
          <w:rFonts w:ascii="Arial" w:hAnsi="Arial" w:cs="Arial"/>
          <w:shd w:val="clear" w:color="auto" w:fill="FFFFFF"/>
          <w:lang w:val="es-US"/>
        </w:rPr>
        <w:t>) o las marcas comerciales (por ejemplo, HUMIRA®, REMICADE®, COSENTYX®).</w:t>
      </w:r>
    </w:p>
    <w:p w14:paraId="5F2C4D24" w14:textId="76BC746E" w:rsidR="003B492E" w:rsidRPr="0014077B" w:rsidRDefault="003B492E" w:rsidP="00A14735">
      <w:pPr>
        <w:spacing w:line="245" w:lineRule="auto"/>
        <w:rPr>
          <w:rFonts w:ascii="Arial" w:hAnsi="Arial" w:cs="Arial"/>
          <w:shd w:val="clear" w:color="auto" w:fill="FFFFFF"/>
          <w:lang w:val="es-AR"/>
        </w:rPr>
      </w:pPr>
      <w:r w:rsidRPr="0014077B">
        <w:rPr>
          <w:rFonts w:ascii="Arial" w:hAnsi="Arial" w:cs="Arial"/>
          <w:b/>
          <w:bCs/>
          <w:i/>
          <w:iCs/>
          <w:color w:val="FFCC00"/>
          <w:sz w:val="24"/>
          <w:szCs w:val="24"/>
          <w:shd w:val="clear" w:color="auto" w:fill="FFFFFF"/>
          <w:lang w:val="es-US"/>
        </w:rPr>
        <w:t>Preguntas adicionales (que no se abordan en las preguntas frecuentes):</w:t>
      </w:r>
    </w:p>
    <w:p w14:paraId="15E28542" w14:textId="77777777" w:rsidR="003B492E" w:rsidRPr="0014077B" w:rsidRDefault="003B492E" w:rsidP="00A14735">
      <w:pPr>
        <w:spacing w:line="245" w:lineRule="auto"/>
        <w:ind w:right="-279"/>
        <w:rPr>
          <w:rFonts w:ascii="Arial" w:hAnsi="Arial" w:cs="Arial"/>
          <w:b/>
          <w:bCs/>
          <w:color w:val="7030A0"/>
          <w:lang w:val="es-AR"/>
        </w:rPr>
      </w:pPr>
      <w:r w:rsidRPr="0014077B">
        <w:rPr>
          <w:rFonts w:ascii="Arial" w:hAnsi="Arial" w:cs="Arial"/>
          <w:b/>
          <w:bCs/>
          <w:color w:val="7030A0"/>
          <w:lang w:val="es-US"/>
        </w:rPr>
        <w:t>¿Por qué se requiere una prueba de la tuberculina antes de aprobar un producto biológico?</w:t>
      </w:r>
    </w:p>
    <w:p w14:paraId="7B850C65" w14:textId="12677BD5" w:rsidR="003B492E" w:rsidRPr="0014077B" w:rsidRDefault="003B492E" w:rsidP="00A14735">
      <w:pPr>
        <w:spacing w:line="245" w:lineRule="auto"/>
        <w:rPr>
          <w:rFonts w:ascii="Arial" w:hAnsi="Arial" w:cs="Arial"/>
          <w:shd w:val="clear" w:color="auto" w:fill="FFFFFF"/>
          <w:lang w:val="es-AR"/>
        </w:rPr>
      </w:pPr>
      <w:r w:rsidRPr="0014077B">
        <w:rPr>
          <w:rFonts w:ascii="Arial" w:hAnsi="Arial" w:cs="Arial"/>
          <w:shd w:val="clear" w:color="auto" w:fill="FFFFFF"/>
          <w:lang w:val="es-US"/>
        </w:rPr>
        <w:t xml:space="preserve">Los pacientes que tienen tuberculosis (TB) activa o latente (es decir, las bacterias de la TB están en el cuerpo, pero es como si estuvieran “dormidas”) y que reciben tratamiento con productos biológicos que son bloqueadores del TNF (por ejemplo, </w:t>
      </w:r>
      <w:proofErr w:type="spellStart"/>
      <w:r w:rsidRPr="0014077B">
        <w:rPr>
          <w:rFonts w:ascii="Arial" w:hAnsi="Arial" w:cs="Arial"/>
          <w:shd w:val="clear" w:color="auto" w:fill="FFFFFF"/>
          <w:lang w:val="es-US"/>
        </w:rPr>
        <w:t>adalimumab</w:t>
      </w:r>
      <w:proofErr w:type="spellEnd"/>
      <w:r w:rsidRPr="0014077B">
        <w:rPr>
          <w:rFonts w:ascii="Arial" w:hAnsi="Arial" w:cs="Arial"/>
          <w:shd w:val="clear" w:color="auto" w:fill="FFFFFF"/>
          <w:lang w:val="es-US"/>
        </w:rPr>
        <w:t xml:space="preserve"> o </w:t>
      </w:r>
      <w:proofErr w:type="spellStart"/>
      <w:r w:rsidRPr="0014077B">
        <w:rPr>
          <w:rFonts w:ascii="Arial" w:hAnsi="Arial" w:cs="Arial"/>
          <w:shd w:val="clear" w:color="auto" w:fill="FFFFFF"/>
          <w:lang w:val="es-US"/>
        </w:rPr>
        <w:t>infliximab</w:t>
      </w:r>
      <w:proofErr w:type="spellEnd"/>
      <w:r w:rsidRPr="0014077B">
        <w:rPr>
          <w:rFonts w:ascii="Arial" w:hAnsi="Arial" w:cs="Arial"/>
          <w:shd w:val="clear" w:color="auto" w:fill="FFFFFF"/>
          <w:lang w:val="es-US"/>
        </w:rPr>
        <w:t>) corren un mayor riesgo de que la infección por TB empeore.</w:t>
      </w:r>
      <w:r w:rsidR="00A14735" w:rsidRPr="0014077B">
        <w:rPr>
          <w:rFonts w:ascii="Arial" w:hAnsi="Arial" w:cs="Arial"/>
          <w:shd w:val="clear" w:color="auto" w:fill="FFFFFF"/>
          <w:lang w:val="es-US"/>
        </w:rPr>
        <w:t xml:space="preserve"> </w:t>
      </w:r>
      <w:r w:rsidRPr="0014077B">
        <w:rPr>
          <w:rFonts w:ascii="Arial" w:hAnsi="Arial" w:cs="Arial"/>
          <w:shd w:val="clear" w:color="auto" w:fill="FFFFFF"/>
          <w:lang w:val="es-US"/>
        </w:rPr>
        <w:t>Para evitar esto, se requiere una prueba de la tuberculina antes de autorizar el uso de bloqueadores del TNF.</w:t>
      </w:r>
      <w:r w:rsidR="00A14735" w:rsidRPr="0014077B">
        <w:rPr>
          <w:rFonts w:ascii="Arial" w:hAnsi="Arial" w:cs="Arial"/>
          <w:shd w:val="clear" w:color="auto" w:fill="FFFFFF"/>
          <w:lang w:val="es-US"/>
        </w:rPr>
        <w:t xml:space="preserve"> </w:t>
      </w:r>
    </w:p>
    <w:p w14:paraId="3A396B1D" w14:textId="364D6E98" w:rsidR="003B492E" w:rsidRPr="0014077B" w:rsidRDefault="003B492E" w:rsidP="00A14735">
      <w:pPr>
        <w:spacing w:line="245" w:lineRule="auto"/>
        <w:rPr>
          <w:rFonts w:ascii="Arial" w:hAnsi="Arial" w:cs="Arial"/>
          <w:shd w:val="clear" w:color="auto" w:fill="FFFFFF"/>
          <w:lang w:val="es-AR"/>
        </w:rPr>
      </w:pPr>
      <w:r w:rsidRPr="0014077B">
        <w:rPr>
          <w:rFonts w:ascii="Arial" w:hAnsi="Arial" w:cs="Arial"/>
          <w:shd w:val="clear" w:color="auto" w:fill="FFFFFF"/>
          <w:lang w:val="es-US"/>
        </w:rPr>
        <w:t>Si la prueba es negativa, significa que no hay indicios de TB activa o latente.</w:t>
      </w:r>
      <w:r w:rsidR="00A14735" w:rsidRPr="0014077B">
        <w:rPr>
          <w:rFonts w:ascii="Arial" w:hAnsi="Arial" w:cs="Arial"/>
          <w:shd w:val="clear" w:color="auto" w:fill="FFFFFF"/>
          <w:lang w:val="es-US"/>
        </w:rPr>
        <w:t xml:space="preserve"> </w:t>
      </w:r>
      <w:r w:rsidRPr="0014077B">
        <w:rPr>
          <w:rFonts w:ascii="Arial" w:hAnsi="Arial" w:cs="Arial"/>
          <w:shd w:val="clear" w:color="auto" w:fill="FFFFFF"/>
          <w:lang w:val="es-US"/>
        </w:rPr>
        <w:t>En ese caso, puede recibir un bloqueador del TNF sin preocuparse de que la infección por TB empeore.</w:t>
      </w:r>
    </w:p>
    <w:p w14:paraId="3FE14185" w14:textId="7C7FC008" w:rsidR="003B492E" w:rsidRPr="0014077B" w:rsidRDefault="003B492E" w:rsidP="00A14735">
      <w:pPr>
        <w:spacing w:line="245" w:lineRule="auto"/>
        <w:rPr>
          <w:rFonts w:ascii="Arial" w:hAnsi="Arial" w:cs="Arial"/>
          <w:shd w:val="clear" w:color="auto" w:fill="FFFFFF"/>
          <w:lang w:val="es-AR"/>
        </w:rPr>
      </w:pPr>
      <w:r w:rsidRPr="0014077B">
        <w:rPr>
          <w:rFonts w:ascii="Arial" w:hAnsi="Arial" w:cs="Arial"/>
          <w:shd w:val="clear" w:color="auto" w:fill="FFFFFF"/>
          <w:lang w:val="es-US"/>
        </w:rPr>
        <w:t>Si la prueba es positiva, significa que es posible que tenga TB activa o latente.</w:t>
      </w:r>
      <w:r w:rsidR="00A14735" w:rsidRPr="0014077B">
        <w:rPr>
          <w:rFonts w:ascii="Arial" w:hAnsi="Arial" w:cs="Arial"/>
          <w:shd w:val="clear" w:color="auto" w:fill="FFFFFF"/>
          <w:lang w:val="es-US"/>
        </w:rPr>
        <w:t xml:space="preserve"> </w:t>
      </w:r>
      <w:r w:rsidRPr="0014077B">
        <w:rPr>
          <w:rFonts w:ascii="Arial" w:hAnsi="Arial" w:cs="Arial"/>
          <w:shd w:val="clear" w:color="auto" w:fill="FFFFFF"/>
          <w:lang w:val="es-US"/>
        </w:rPr>
        <w:t>Por ende, es posible que sea necesario que lo examine un médico especialista en enfermedades infecciosas.</w:t>
      </w:r>
      <w:r w:rsidR="00A14735" w:rsidRPr="0014077B">
        <w:rPr>
          <w:rFonts w:ascii="Arial" w:hAnsi="Arial" w:cs="Arial"/>
          <w:shd w:val="clear" w:color="auto" w:fill="FFFFFF"/>
          <w:lang w:val="es-US"/>
        </w:rPr>
        <w:t xml:space="preserve"> </w:t>
      </w:r>
      <w:r w:rsidRPr="0014077B">
        <w:rPr>
          <w:rFonts w:ascii="Arial" w:hAnsi="Arial" w:cs="Arial"/>
          <w:shd w:val="clear" w:color="auto" w:fill="FFFFFF"/>
          <w:lang w:val="es-US"/>
        </w:rPr>
        <w:t xml:space="preserve">Puede ser conveniente retrasar el tratamiento con un bloqueador del TNF hasta que la TB activa o latente esté bajo control, o bien elegir un tratamiento diferente que no conlleve el riesgo de empeoramiento de la TB. </w:t>
      </w:r>
    </w:p>
    <w:p w14:paraId="666743D3" w14:textId="1A292CBF" w:rsidR="003B492E" w:rsidRPr="0014077B" w:rsidRDefault="003B492E" w:rsidP="00A14735">
      <w:pPr>
        <w:spacing w:line="245" w:lineRule="auto"/>
        <w:rPr>
          <w:rFonts w:ascii="Arial" w:hAnsi="Arial" w:cs="Arial"/>
          <w:b/>
          <w:bCs/>
          <w:color w:val="7030A0"/>
          <w:lang w:val="es-AR"/>
        </w:rPr>
      </w:pPr>
      <w:r w:rsidRPr="0014077B">
        <w:rPr>
          <w:rFonts w:ascii="Arial" w:hAnsi="Arial" w:cs="Arial"/>
          <w:b/>
          <w:bCs/>
          <w:color w:val="7030A0"/>
          <w:lang w:val="es-US"/>
        </w:rPr>
        <w:lastRenderedPageBreak/>
        <w:t>¿Es necesario drenar los abscesos de un brote de HS antes de comenzar a recibir tratamiento con un producto biológico para obtener resultados más eficaces?</w:t>
      </w:r>
    </w:p>
    <w:p w14:paraId="22A1D9E9" w14:textId="04705EFF" w:rsidR="003B492E" w:rsidRPr="0014077B" w:rsidRDefault="003B492E" w:rsidP="00A14735">
      <w:pPr>
        <w:spacing w:line="245" w:lineRule="auto"/>
        <w:rPr>
          <w:rFonts w:ascii="Arial" w:hAnsi="Arial" w:cs="Arial"/>
          <w:lang w:val="es-AR"/>
        </w:rPr>
      </w:pPr>
      <w:r w:rsidRPr="0014077B">
        <w:rPr>
          <w:rFonts w:ascii="Arial" w:hAnsi="Arial" w:cs="Arial"/>
          <w:lang w:val="es-US"/>
        </w:rPr>
        <w:t>No hay pruebas que indiquen la necesidad de drenar los abscesos de un brote de HS antes de comenzar a recibir tratamiento con un producto biológico.</w:t>
      </w:r>
      <w:r w:rsidR="00A14735" w:rsidRPr="0014077B">
        <w:rPr>
          <w:rFonts w:ascii="Arial" w:hAnsi="Arial" w:cs="Arial"/>
          <w:lang w:val="es-US"/>
        </w:rPr>
        <w:t xml:space="preserve"> </w:t>
      </w:r>
      <w:r w:rsidRPr="0014077B">
        <w:rPr>
          <w:rFonts w:ascii="Arial" w:hAnsi="Arial" w:cs="Arial"/>
          <w:lang w:val="es-US"/>
        </w:rPr>
        <w:t>Sin embargo, cada paciente es diferente. Es posible que algunos pacientes se beneficien del drenaje antes de comenzar a recibir un producto biológico.</w:t>
      </w:r>
      <w:r w:rsidR="00A14735" w:rsidRPr="0014077B">
        <w:rPr>
          <w:rFonts w:ascii="Arial" w:hAnsi="Arial" w:cs="Arial"/>
          <w:lang w:val="es-US"/>
        </w:rPr>
        <w:t xml:space="preserve"> </w:t>
      </w:r>
    </w:p>
    <w:p w14:paraId="36317478" w14:textId="6B695C62" w:rsidR="003B492E" w:rsidRPr="0014077B" w:rsidRDefault="00DD03B3" w:rsidP="00A14735">
      <w:pPr>
        <w:spacing w:line="245" w:lineRule="auto"/>
        <w:rPr>
          <w:rFonts w:ascii="Arial" w:hAnsi="Arial" w:cs="Arial"/>
          <w:lang w:val="es-AR"/>
        </w:rPr>
      </w:pPr>
      <w:r w:rsidRPr="0014077B">
        <w:rPr>
          <w:rFonts w:ascii="Arial" w:hAnsi="Arial" w:cs="Arial"/>
          <w:lang w:val="es-US"/>
        </w:rPr>
        <w:t>Esta es una decisión que debe tomarse de forma individual, entre usted y su proveedor de atención médica.</w:t>
      </w:r>
    </w:p>
    <w:p w14:paraId="224DFB9C" w14:textId="77777777" w:rsidR="003B492E" w:rsidRPr="0014077B" w:rsidRDefault="003B492E" w:rsidP="00A14735">
      <w:pPr>
        <w:spacing w:line="245" w:lineRule="auto"/>
        <w:rPr>
          <w:rFonts w:ascii="Arial" w:hAnsi="Arial" w:cs="Arial"/>
          <w:b/>
          <w:bCs/>
          <w:color w:val="7030A0"/>
          <w:lang w:val="es-AR"/>
        </w:rPr>
      </w:pPr>
      <w:r w:rsidRPr="0014077B">
        <w:rPr>
          <w:rFonts w:ascii="Arial" w:hAnsi="Arial" w:cs="Arial"/>
          <w:b/>
          <w:bCs/>
          <w:color w:val="7030A0"/>
          <w:lang w:val="es-US"/>
        </w:rPr>
        <w:t>Estoy tratando de llegar a un acuerdo con mi aseguradora. El objetivo es duplicar la dosis del producto biológico que estoy recibiendo. ¿Hay pruebas que indiquen que un aumento de la dosis es más eficaz?</w:t>
      </w:r>
    </w:p>
    <w:p w14:paraId="24BA453F" w14:textId="1E4DE153" w:rsidR="003B492E" w:rsidRPr="0014077B" w:rsidRDefault="003B492E" w:rsidP="00A14735">
      <w:pPr>
        <w:spacing w:line="245" w:lineRule="auto"/>
        <w:rPr>
          <w:rFonts w:ascii="Arial" w:hAnsi="Arial" w:cs="Arial"/>
          <w:lang w:val="es-AR"/>
        </w:rPr>
      </w:pPr>
      <w:r w:rsidRPr="0014077B">
        <w:rPr>
          <w:rFonts w:ascii="Arial" w:hAnsi="Arial" w:cs="Arial"/>
          <w:lang w:val="es-US"/>
        </w:rPr>
        <w:t>Algunos pacientes pueden beneficiarse de una dosis más alta.</w:t>
      </w:r>
      <w:r w:rsidR="00A14735" w:rsidRPr="0014077B">
        <w:rPr>
          <w:rFonts w:ascii="Arial" w:hAnsi="Arial" w:cs="Arial"/>
          <w:lang w:val="es-US"/>
        </w:rPr>
        <w:t xml:space="preserve"> </w:t>
      </w:r>
    </w:p>
    <w:p w14:paraId="18FF56DC" w14:textId="5722F903" w:rsidR="003B492E" w:rsidRPr="0014077B" w:rsidRDefault="003B492E" w:rsidP="00A14735">
      <w:pPr>
        <w:spacing w:line="245" w:lineRule="auto"/>
        <w:rPr>
          <w:rFonts w:ascii="Arial" w:hAnsi="Arial" w:cs="Arial"/>
          <w:lang w:val="es-AR"/>
        </w:rPr>
      </w:pPr>
      <w:r w:rsidRPr="0014077B">
        <w:rPr>
          <w:rFonts w:ascii="Arial" w:hAnsi="Arial" w:cs="Arial"/>
          <w:lang w:val="es-US"/>
        </w:rPr>
        <w:t>Lamentablemente, en este momento, la única manera de saber si podría beneficiarse de una dosis mayor es probar y ver qué sucede.</w:t>
      </w:r>
      <w:r w:rsidR="00A14735" w:rsidRPr="0014077B">
        <w:rPr>
          <w:rFonts w:ascii="Arial" w:hAnsi="Arial" w:cs="Arial"/>
          <w:lang w:val="es-US"/>
        </w:rPr>
        <w:t xml:space="preserve"> </w:t>
      </w:r>
      <w:r w:rsidRPr="0014077B">
        <w:rPr>
          <w:rFonts w:ascii="Arial" w:hAnsi="Arial" w:cs="Arial"/>
          <w:lang w:val="es-US"/>
        </w:rPr>
        <w:t>Esta es una decisión que debe tomar con el proveedor de atención médica.</w:t>
      </w:r>
    </w:p>
    <w:p w14:paraId="16B3E8A7" w14:textId="77777777" w:rsidR="003B492E" w:rsidRPr="0014077B" w:rsidRDefault="003B492E" w:rsidP="00A14735">
      <w:pPr>
        <w:spacing w:line="245" w:lineRule="auto"/>
        <w:rPr>
          <w:rFonts w:ascii="Arial" w:hAnsi="Arial" w:cs="Arial"/>
          <w:b/>
          <w:bCs/>
          <w:color w:val="7030A0"/>
          <w:lang w:val="es-AR"/>
        </w:rPr>
      </w:pPr>
      <w:bookmarkStart w:id="0" w:name="_Hlk157153823"/>
      <w:r w:rsidRPr="0014077B">
        <w:rPr>
          <w:rFonts w:ascii="Arial" w:hAnsi="Arial" w:cs="Arial"/>
          <w:b/>
          <w:bCs/>
          <w:color w:val="7030A0"/>
          <w:lang w:val="es-US"/>
        </w:rPr>
        <w:t>¿Mi proveedor de atención médica podrá indicarme un producto biológico sin probar otro tratamiento previo?</w:t>
      </w:r>
    </w:p>
    <w:p w14:paraId="0EF10106" w14:textId="77777777" w:rsidR="003B492E" w:rsidRPr="0014077B" w:rsidRDefault="003B492E" w:rsidP="00A14735">
      <w:pPr>
        <w:tabs>
          <w:tab w:val="left" w:pos="720"/>
        </w:tabs>
        <w:spacing w:after="0" w:line="245" w:lineRule="auto"/>
        <w:rPr>
          <w:rFonts w:ascii="Arial" w:hAnsi="Arial" w:cs="Arial"/>
          <w:lang w:val="es-AR"/>
        </w:rPr>
      </w:pPr>
      <w:r w:rsidRPr="0014077B">
        <w:rPr>
          <w:rFonts w:ascii="Arial" w:hAnsi="Arial" w:cs="Arial"/>
          <w:lang w:val="es-US"/>
        </w:rPr>
        <w:t>Probablemente, esto es algo que nunca ocurrirá debido al sistema de seguros médicos de Estados Unidos.</w:t>
      </w:r>
    </w:p>
    <w:bookmarkEnd w:id="0"/>
    <w:p w14:paraId="162361AF" w14:textId="77777777" w:rsidR="003B492E" w:rsidRPr="0014077B" w:rsidRDefault="003B492E" w:rsidP="00A14735">
      <w:pPr>
        <w:spacing w:line="245" w:lineRule="auto"/>
        <w:rPr>
          <w:rFonts w:ascii="Arial" w:hAnsi="Arial" w:cs="Arial"/>
          <w:sz w:val="28"/>
          <w:szCs w:val="28"/>
          <w:shd w:val="clear" w:color="auto" w:fill="FFFFFF"/>
          <w:lang w:val="es-AR"/>
        </w:rPr>
      </w:pPr>
    </w:p>
    <w:p w14:paraId="41DB5945" w14:textId="0CBE08DC" w:rsidR="006F013D" w:rsidRPr="0014077B" w:rsidRDefault="006F013D" w:rsidP="00A14735">
      <w:pPr>
        <w:spacing w:line="245" w:lineRule="auto"/>
        <w:rPr>
          <w:rFonts w:ascii="Arial" w:hAnsi="Arial" w:cs="Arial"/>
          <w:color w:val="184CB4"/>
          <w:sz w:val="28"/>
          <w:szCs w:val="28"/>
          <w:lang w:val="es-AR"/>
        </w:rPr>
      </w:pPr>
      <w:r w:rsidRPr="0014077B">
        <w:rPr>
          <w:rFonts w:ascii="Arial" w:hAnsi="Arial" w:cs="Arial"/>
          <w:b/>
          <w:bCs/>
          <w:color w:val="184CB4"/>
          <w:sz w:val="28"/>
          <w:szCs w:val="28"/>
          <w:lang w:val="es-US"/>
        </w:rPr>
        <w:t>Elección de un producto biológico</w:t>
      </w:r>
    </w:p>
    <w:p w14:paraId="16FC7E31" w14:textId="77777777" w:rsidR="006F013D" w:rsidRPr="0014077B" w:rsidRDefault="006F013D" w:rsidP="00A14735">
      <w:pPr>
        <w:tabs>
          <w:tab w:val="left" w:pos="720"/>
        </w:tabs>
        <w:spacing w:line="245" w:lineRule="auto"/>
        <w:rPr>
          <w:rFonts w:ascii="Arial" w:hAnsi="Arial" w:cs="Arial"/>
          <w:b/>
          <w:bCs/>
          <w:color w:val="7030A0"/>
          <w:lang w:val="es-AR"/>
        </w:rPr>
      </w:pPr>
      <w:r w:rsidRPr="0014077B">
        <w:rPr>
          <w:rFonts w:ascii="Arial" w:hAnsi="Arial" w:cs="Arial"/>
          <w:b/>
          <w:bCs/>
          <w:color w:val="7030A0"/>
          <w:lang w:val="es-US"/>
        </w:rPr>
        <w:t>¿Cuál es la diferencia entre COSENTYX® y HUMIRA®?</w:t>
      </w:r>
    </w:p>
    <w:p w14:paraId="6F81D445" w14:textId="53A536C8" w:rsidR="006F013D" w:rsidRPr="0014077B" w:rsidRDefault="006F013D" w:rsidP="00A14735">
      <w:pPr>
        <w:spacing w:line="245" w:lineRule="auto"/>
        <w:rPr>
          <w:rFonts w:ascii="Arial" w:hAnsi="Arial" w:cs="Arial"/>
          <w:lang w:val="es-AR"/>
        </w:rPr>
      </w:pPr>
      <w:r w:rsidRPr="0014077B">
        <w:rPr>
          <w:rFonts w:ascii="Arial" w:hAnsi="Arial" w:cs="Arial"/>
          <w:lang w:val="es-US"/>
        </w:rPr>
        <w:t>Ambos productos biológicos se dirigen a las citocinas, que son señales que el cuerpo usa para comunicarse.</w:t>
      </w:r>
      <w:r w:rsidR="00A14735" w:rsidRPr="0014077B">
        <w:rPr>
          <w:rFonts w:ascii="Arial" w:hAnsi="Arial" w:cs="Arial"/>
          <w:lang w:val="es-US"/>
        </w:rPr>
        <w:t xml:space="preserve"> </w:t>
      </w:r>
      <w:r w:rsidRPr="0014077B">
        <w:rPr>
          <w:rFonts w:ascii="Arial" w:hAnsi="Arial" w:cs="Arial"/>
          <w:lang w:val="es-US"/>
        </w:rPr>
        <w:t>Específicamente, atacan las citocinas que le indican al cuerpo que aumente la inflamación.</w:t>
      </w:r>
      <w:r w:rsidR="00A14735" w:rsidRPr="0014077B">
        <w:rPr>
          <w:rFonts w:ascii="Arial" w:hAnsi="Arial" w:cs="Arial"/>
          <w:lang w:val="es-US"/>
        </w:rPr>
        <w:t xml:space="preserve"> </w:t>
      </w:r>
      <w:r w:rsidRPr="0014077B">
        <w:rPr>
          <w:rFonts w:ascii="Arial" w:hAnsi="Arial" w:cs="Arial"/>
          <w:lang w:val="es-US"/>
        </w:rPr>
        <w:t>COSENTYX® se dirige a una citocina llamada IL-17 y HUMIRA®, a una citocina denominada factor de necrosis tumoral (TNF) alfa.</w:t>
      </w:r>
      <w:r w:rsidR="00A14735" w:rsidRPr="0014077B">
        <w:rPr>
          <w:rFonts w:ascii="Arial" w:hAnsi="Arial" w:cs="Arial"/>
          <w:lang w:val="es-US"/>
        </w:rPr>
        <w:t xml:space="preserve"> </w:t>
      </w:r>
    </w:p>
    <w:p w14:paraId="6EE683FC" w14:textId="77777777" w:rsidR="006F013D" w:rsidRPr="0014077B" w:rsidRDefault="006F013D" w:rsidP="00A14735">
      <w:pPr>
        <w:tabs>
          <w:tab w:val="left" w:pos="720"/>
        </w:tabs>
        <w:spacing w:line="245" w:lineRule="auto"/>
        <w:rPr>
          <w:rFonts w:ascii="Arial" w:hAnsi="Arial" w:cs="Arial"/>
          <w:b/>
          <w:bCs/>
          <w:color w:val="7030A0"/>
          <w:lang w:val="es-AR"/>
        </w:rPr>
      </w:pPr>
      <w:r w:rsidRPr="0014077B">
        <w:rPr>
          <w:rFonts w:ascii="Arial" w:hAnsi="Arial" w:cs="Arial"/>
          <w:b/>
          <w:bCs/>
          <w:color w:val="7030A0"/>
          <w:lang w:val="es-US"/>
        </w:rPr>
        <w:t>Estoy recibiendo tratamiento con un producto biológico, pero sigo teniendo problemas. ¿Qué otros productos biológicos podrían ser útiles para mí? No tengo una buena calidad de vida en este momento.</w:t>
      </w:r>
    </w:p>
    <w:p w14:paraId="1C625150" w14:textId="4541605E" w:rsidR="006F013D" w:rsidRPr="0014077B" w:rsidRDefault="006F013D" w:rsidP="00A14735">
      <w:pPr>
        <w:spacing w:line="245" w:lineRule="auto"/>
        <w:rPr>
          <w:rFonts w:ascii="Arial" w:hAnsi="Arial" w:cs="Arial"/>
          <w:lang w:val="es-AR"/>
        </w:rPr>
      </w:pPr>
      <w:r w:rsidRPr="0014077B">
        <w:rPr>
          <w:rFonts w:ascii="Arial" w:hAnsi="Arial" w:cs="Arial"/>
          <w:lang w:val="es-US"/>
        </w:rPr>
        <w:t>Probar otro producto biológico indicado para el tratamiento de la HS podría ser una opción. Otro aspecto importante en la HS es que se pueden usar varios medicamentos juntos. Si un tratamiento no le permite controlar la afección, lo más probable es que se agregue otro medicamento a su pauta de administración. Se seguirán agregando medicamentos para ayudarlo a tener la afección bajo control.</w:t>
      </w:r>
      <w:r w:rsidR="00A14735" w:rsidRPr="0014077B">
        <w:rPr>
          <w:rFonts w:ascii="Arial" w:hAnsi="Arial" w:cs="Arial"/>
          <w:lang w:val="es-US"/>
        </w:rPr>
        <w:t xml:space="preserve"> </w:t>
      </w:r>
      <w:r w:rsidRPr="0014077B">
        <w:rPr>
          <w:rFonts w:ascii="Arial" w:hAnsi="Arial" w:cs="Arial"/>
          <w:lang w:val="es-US"/>
        </w:rPr>
        <w:t>Los procedimientos quirúrgicos también son eficaces para abordar algunas afecciones, por lo que todo dependerá exactamente de los problemas médicos que tenga.</w:t>
      </w:r>
    </w:p>
    <w:p w14:paraId="02D619CC" w14:textId="26197C41" w:rsidR="006F013D" w:rsidRPr="0014077B" w:rsidRDefault="006F013D" w:rsidP="00A14735">
      <w:pPr>
        <w:tabs>
          <w:tab w:val="left" w:pos="720"/>
        </w:tabs>
        <w:spacing w:line="245" w:lineRule="auto"/>
        <w:rPr>
          <w:rFonts w:ascii="Arial" w:hAnsi="Arial" w:cs="Arial"/>
          <w:b/>
          <w:bCs/>
          <w:color w:val="7030A0"/>
          <w:lang w:val="es-AR"/>
        </w:rPr>
      </w:pPr>
      <w:r w:rsidRPr="0014077B">
        <w:rPr>
          <w:rFonts w:ascii="Arial" w:hAnsi="Arial" w:cs="Arial"/>
          <w:b/>
          <w:bCs/>
          <w:color w:val="7030A0"/>
          <w:lang w:val="es-US"/>
        </w:rPr>
        <w:t>¿Cómo determinan los proveedores de atención médica qué producto biológico es mejor para cada paciente? ¿Por qué los médicos no suelen realizar un panel de citocinas?</w:t>
      </w:r>
    </w:p>
    <w:p w14:paraId="6AA84F45" w14:textId="6216529E" w:rsidR="006F013D" w:rsidRPr="0014077B" w:rsidRDefault="006F013D" w:rsidP="00A14735">
      <w:pPr>
        <w:spacing w:line="245" w:lineRule="auto"/>
        <w:rPr>
          <w:rFonts w:ascii="Arial" w:hAnsi="Arial" w:cs="Arial"/>
          <w:lang w:val="es-AR"/>
        </w:rPr>
      </w:pPr>
      <w:r w:rsidRPr="0014077B">
        <w:rPr>
          <w:rFonts w:ascii="Arial" w:hAnsi="Arial" w:cs="Arial"/>
          <w:lang w:val="es-US"/>
        </w:rPr>
        <w:t xml:space="preserve">Si bien analizamos los paneles de citocinas, lamentablemente, no nos ayudan a tomar decisiones de tratamiento. Los niveles de citocinas suelen ser altos en los pacientes con HS, y </w:t>
      </w:r>
      <w:r w:rsidRPr="0014077B">
        <w:rPr>
          <w:rFonts w:ascii="Arial" w:hAnsi="Arial" w:cs="Arial"/>
          <w:lang w:val="es-US"/>
        </w:rPr>
        <w:lastRenderedPageBreak/>
        <w:t>aún no sabemos cuáles son las más importantes para impulsar la enfermedad.</w:t>
      </w:r>
      <w:r w:rsidR="00A14735" w:rsidRPr="0014077B">
        <w:rPr>
          <w:rFonts w:ascii="Arial" w:hAnsi="Arial" w:cs="Arial"/>
          <w:lang w:val="es-US"/>
        </w:rPr>
        <w:t xml:space="preserve"> </w:t>
      </w:r>
      <w:r w:rsidRPr="0014077B">
        <w:rPr>
          <w:rFonts w:ascii="Arial" w:hAnsi="Arial" w:cs="Arial"/>
          <w:lang w:val="es-US"/>
        </w:rPr>
        <w:t>Un producto biológico puede ser eficaz para una persona, mientras que otro diferente puede ser más útil para otra.</w:t>
      </w:r>
      <w:r w:rsidR="00A14735" w:rsidRPr="0014077B">
        <w:rPr>
          <w:rFonts w:ascii="Arial" w:hAnsi="Arial" w:cs="Arial"/>
          <w:lang w:val="es-US"/>
        </w:rPr>
        <w:t xml:space="preserve"> </w:t>
      </w:r>
      <w:r w:rsidRPr="0014077B">
        <w:rPr>
          <w:rFonts w:ascii="Arial" w:hAnsi="Arial" w:cs="Arial"/>
          <w:lang w:val="es-US"/>
        </w:rPr>
        <w:t>Se están realizando investigaciones para tratar de encontrar otros factores (posiblemente, genes) que ayuden a predecir qué tratamiento es mejor para cada paciente, pero aún no contamos con esa información.</w:t>
      </w:r>
    </w:p>
    <w:p w14:paraId="4D7F8FD7" w14:textId="77777777" w:rsidR="003B492E" w:rsidRPr="0014077B" w:rsidRDefault="003B492E" w:rsidP="00A14735">
      <w:pPr>
        <w:spacing w:line="245" w:lineRule="auto"/>
        <w:rPr>
          <w:rFonts w:ascii="Arial" w:hAnsi="Arial" w:cs="Arial"/>
          <w:shd w:val="clear" w:color="auto" w:fill="FFFFFF"/>
          <w:lang w:val="es-AR"/>
        </w:rPr>
      </w:pPr>
      <w:r w:rsidRPr="0014077B">
        <w:rPr>
          <w:rFonts w:ascii="Arial" w:hAnsi="Arial" w:cs="Arial"/>
          <w:b/>
          <w:bCs/>
          <w:i/>
          <w:iCs/>
          <w:color w:val="FFCC00"/>
          <w:sz w:val="24"/>
          <w:szCs w:val="24"/>
          <w:shd w:val="clear" w:color="auto" w:fill="FFFFFF"/>
          <w:lang w:val="es-US"/>
        </w:rPr>
        <w:t>Preguntas adicionales (que no se abordan en las preguntas frecuentes):</w:t>
      </w:r>
    </w:p>
    <w:p w14:paraId="60E93846" w14:textId="77777777" w:rsidR="003B492E" w:rsidRPr="0014077B" w:rsidRDefault="003B492E" w:rsidP="00A14735">
      <w:pPr>
        <w:tabs>
          <w:tab w:val="left" w:pos="720"/>
        </w:tabs>
        <w:spacing w:line="245" w:lineRule="auto"/>
        <w:rPr>
          <w:rFonts w:ascii="Arial" w:hAnsi="Arial" w:cs="Arial"/>
          <w:b/>
          <w:bCs/>
          <w:color w:val="7030A0"/>
          <w:lang w:val="es-AR"/>
        </w:rPr>
      </w:pPr>
      <w:r w:rsidRPr="0014077B">
        <w:rPr>
          <w:rFonts w:ascii="Arial" w:hAnsi="Arial" w:cs="Arial"/>
          <w:b/>
          <w:bCs/>
          <w:color w:val="7030A0"/>
          <w:lang w:val="es-US"/>
        </w:rPr>
        <w:t>¿Cuál es el mejor producto biológico para la HS severa?</w:t>
      </w:r>
    </w:p>
    <w:p w14:paraId="7470ADBB" w14:textId="5FC0E380" w:rsidR="007C4957" w:rsidRPr="0014077B" w:rsidRDefault="00433FC3" w:rsidP="00A14735">
      <w:pPr>
        <w:spacing w:line="245" w:lineRule="auto"/>
        <w:rPr>
          <w:rFonts w:ascii="Arial" w:hAnsi="Arial" w:cs="Arial"/>
          <w:lang w:val="es-AR"/>
        </w:rPr>
      </w:pPr>
      <w:r w:rsidRPr="0014077B">
        <w:rPr>
          <w:rFonts w:ascii="Arial" w:hAnsi="Arial" w:cs="Arial"/>
          <w:lang w:val="es-US"/>
        </w:rPr>
        <w:t>Todavía no tenemos una respuesta a esa pregunta. Si bien un producto biológico puede ser eficaz para una persona, otra podría responder mejor a uno diferente.</w:t>
      </w:r>
      <w:r w:rsidR="00A14735" w:rsidRPr="0014077B">
        <w:rPr>
          <w:rFonts w:ascii="Arial" w:hAnsi="Arial" w:cs="Arial"/>
          <w:lang w:val="es-US"/>
        </w:rPr>
        <w:t xml:space="preserve"> </w:t>
      </w:r>
      <w:r w:rsidRPr="0014077B">
        <w:rPr>
          <w:rFonts w:ascii="Arial" w:hAnsi="Arial" w:cs="Arial"/>
          <w:lang w:val="es-US"/>
        </w:rPr>
        <w:t>Se están realizando investigaciones para tratar de encontrar formas de predecir qué tratamientos funcionarán mejor para cada paciente.</w:t>
      </w:r>
    </w:p>
    <w:p w14:paraId="6613D270" w14:textId="7763120D" w:rsidR="003B492E" w:rsidRPr="0014077B" w:rsidRDefault="003B492E" w:rsidP="00A14735">
      <w:pPr>
        <w:tabs>
          <w:tab w:val="left" w:pos="720"/>
        </w:tabs>
        <w:spacing w:line="245" w:lineRule="auto"/>
        <w:rPr>
          <w:rFonts w:ascii="Arial" w:hAnsi="Arial" w:cs="Arial"/>
          <w:b/>
          <w:bCs/>
          <w:color w:val="7030A0"/>
          <w:lang w:val="es-AR"/>
        </w:rPr>
      </w:pPr>
      <w:r w:rsidRPr="0014077B">
        <w:rPr>
          <w:rFonts w:ascii="Arial" w:hAnsi="Arial" w:cs="Arial"/>
          <w:b/>
          <w:bCs/>
          <w:color w:val="7030A0"/>
          <w:lang w:val="es-US"/>
        </w:rPr>
        <w:t xml:space="preserve">¿Cuál es la escala del tratamiento biológico tras el fracaso con </w:t>
      </w:r>
      <w:proofErr w:type="spellStart"/>
      <w:r w:rsidRPr="0014077B">
        <w:rPr>
          <w:rFonts w:ascii="Arial" w:hAnsi="Arial" w:cs="Arial"/>
          <w:b/>
          <w:bCs/>
          <w:color w:val="7030A0"/>
          <w:lang w:val="es-US"/>
        </w:rPr>
        <w:t>adalimumab</w:t>
      </w:r>
      <w:proofErr w:type="spellEnd"/>
      <w:r w:rsidRPr="0014077B">
        <w:rPr>
          <w:rFonts w:ascii="Arial" w:hAnsi="Arial" w:cs="Arial"/>
          <w:b/>
          <w:bCs/>
          <w:color w:val="7030A0"/>
          <w:lang w:val="es-US"/>
        </w:rPr>
        <w:t>?</w:t>
      </w:r>
    </w:p>
    <w:p w14:paraId="217CF49F" w14:textId="6377C180" w:rsidR="003B492E" w:rsidRPr="0014077B" w:rsidRDefault="003B492E" w:rsidP="00A14735">
      <w:pPr>
        <w:spacing w:line="245" w:lineRule="auto"/>
        <w:rPr>
          <w:rFonts w:ascii="Arial" w:hAnsi="Arial" w:cs="Arial"/>
          <w:lang w:val="es-AR"/>
        </w:rPr>
      </w:pPr>
      <w:r w:rsidRPr="0014077B">
        <w:rPr>
          <w:rFonts w:ascii="Arial" w:hAnsi="Arial" w:cs="Arial"/>
          <w:lang w:val="es-US"/>
        </w:rPr>
        <w:t>COSENTYX® podría ser una opción.</w:t>
      </w:r>
      <w:r w:rsidR="00A14735" w:rsidRPr="0014077B">
        <w:rPr>
          <w:rFonts w:ascii="Arial" w:hAnsi="Arial" w:cs="Arial"/>
          <w:lang w:val="es-US"/>
        </w:rPr>
        <w:t xml:space="preserve"> </w:t>
      </w:r>
      <w:r w:rsidRPr="0014077B">
        <w:rPr>
          <w:rFonts w:ascii="Arial" w:hAnsi="Arial" w:cs="Arial"/>
          <w:lang w:val="es-US"/>
        </w:rPr>
        <w:t xml:space="preserve">El </w:t>
      </w:r>
      <w:proofErr w:type="spellStart"/>
      <w:r w:rsidRPr="0014077B">
        <w:rPr>
          <w:rFonts w:ascii="Arial" w:hAnsi="Arial" w:cs="Arial"/>
          <w:lang w:val="es-US"/>
        </w:rPr>
        <w:t>infliximab</w:t>
      </w:r>
      <w:proofErr w:type="spellEnd"/>
      <w:r w:rsidRPr="0014077B">
        <w:rPr>
          <w:rFonts w:ascii="Arial" w:hAnsi="Arial" w:cs="Arial"/>
          <w:lang w:val="es-US"/>
        </w:rPr>
        <w:t xml:space="preserve"> es otra opción, aunque no está aprobado por la Administración de Alimentos y Medicamentos (FDA) para el tratamiento de la HS.</w:t>
      </w:r>
      <w:r w:rsidR="00A14735" w:rsidRPr="0014077B">
        <w:rPr>
          <w:rFonts w:ascii="Arial" w:hAnsi="Arial" w:cs="Arial"/>
          <w:lang w:val="es-US"/>
        </w:rPr>
        <w:t xml:space="preserve"> </w:t>
      </w:r>
      <w:r w:rsidRPr="0014077B">
        <w:rPr>
          <w:rFonts w:ascii="Arial" w:hAnsi="Arial" w:cs="Arial"/>
          <w:lang w:val="es-US"/>
        </w:rPr>
        <w:t>Otro aspecto importante en la HS es que se pueden usar varios medicamentos juntos.</w:t>
      </w:r>
      <w:r w:rsidR="00A14735" w:rsidRPr="0014077B">
        <w:rPr>
          <w:rFonts w:ascii="Arial" w:hAnsi="Arial" w:cs="Arial"/>
          <w:lang w:val="es-US"/>
        </w:rPr>
        <w:t xml:space="preserve"> </w:t>
      </w:r>
      <w:r w:rsidRPr="0014077B">
        <w:rPr>
          <w:rFonts w:ascii="Arial" w:hAnsi="Arial" w:cs="Arial"/>
          <w:lang w:val="es-US"/>
        </w:rPr>
        <w:t>Si un tratamiento no le permite controlar la afección, lo más probable es que se agregue otro medicamento a su pauta de administración.</w:t>
      </w:r>
      <w:r w:rsidR="00A14735" w:rsidRPr="0014077B">
        <w:rPr>
          <w:rFonts w:ascii="Arial" w:hAnsi="Arial" w:cs="Arial"/>
          <w:lang w:val="es-US"/>
        </w:rPr>
        <w:t xml:space="preserve"> </w:t>
      </w:r>
      <w:r w:rsidRPr="0014077B">
        <w:rPr>
          <w:rFonts w:ascii="Arial" w:hAnsi="Arial" w:cs="Arial"/>
          <w:lang w:val="es-US"/>
        </w:rPr>
        <w:t>Se seguirán agregando medicamentos para ayudarlo a tener la afección bajo control.</w:t>
      </w:r>
      <w:r w:rsidR="00A14735" w:rsidRPr="0014077B">
        <w:rPr>
          <w:rFonts w:ascii="Arial" w:hAnsi="Arial" w:cs="Arial"/>
          <w:lang w:val="es-US"/>
        </w:rPr>
        <w:t xml:space="preserve"> </w:t>
      </w:r>
      <w:r w:rsidRPr="0014077B">
        <w:rPr>
          <w:rFonts w:ascii="Arial" w:hAnsi="Arial" w:cs="Arial"/>
          <w:lang w:val="es-US"/>
        </w:rPr>
        <w:t>Los procedimientos quirúrgicos también son eficaces para abordar algunas afecciones, por lo que todo dependerá exactamente de los problemas médicos que tenga.</w:t>
      </w:r>
    </w:p>
    <w:p w14:paraId="51C13ABF" w14:textId="77777777" w:rsidR="003B492E" w:rsidRPr="0014077B" w:rsidRDefault="003B492E" w:rsidP="00A14735">
      <w:pPr>
        <w:tabs>
          <w:tab w:val="left" w:pos="720"/>
        </w:tabs>
        <w:spacing w:line="245" w:lineRule="auto"/>
        <w:rPr>
          <w:rFonts w:ascii="Arial" w:hAnsi="Arial" w:cs="Arial"/>
          <w:b/>
          <w:bCs/>
          <w:color w:val="7030A0"/>
          <w:lang w:val="es-AR"/>
        </w:rPr>
      </w:pPr>
      <w:r w:rsidRPr="0014077B">
        <w:rPr>
          <w:rFonts w:ascii="Arial" w:hAnsi="Arial" w:cs="Arial"/>
          <w:b/>
          <w:bCs/>
          <w:color w:val="7030A0"/>
          <w:lang w:val="es-US"/>
        </w:rPr>
        <w:t>¿El TNF alfa y el anti-IL-17 son lo suficientemente buenos por sí solos? ¿O es necesario combinarlos con otros productos biológicos?</w:t>
      </w:r>
    </w:p>
    <w:p w14:paraId="7CF79A0F" w14:textId="3C3900B2" w:rsidR="003B492E" w:rsidRPr="0014077B" w:rsidRDefault="003B492E" w:rsidP="00A14735">
      <w:pPr>
        <w:spacing w:line="245" w:lineRule="auto"/>
        <w:rPr>
          <w:rFonts w:ascii="Arial" w:hAnsi="Arial" w:cs="Arial"/>
          <w:lang w:val="es-AR"/>
        </w:rPr>
      </w:pPr>
      <w:r w:rsidRPr="0014077B">
        <w:rPr>
          <w:rFonts w:ascii="Arial" w:hAnsi="Arial" w:cs="Arial"/>
          <w:lang w:val="es-US"/>
        </w:rPr>
        <w:t>Actualmente, los investigadores están evaluando una gran cantidad de productos biológicos y otros medicamentos con muchos objetivos diferentes.</w:t>
      </w:r>
      <w:r w:rsidR="00A14735" w:rsidRPr="0014077B">
        <w:rPr>
          <w:rFonts w:ascii="Arial" w:hAnsi="Arial" w:cs="Arial"/>
          <w:lang w:val="es-US"/>
        </w:rPr>
        <w:t xml:space="preserve"> </w:t>
      </w:r>
      <w:r w:rsidRPr="0014077B">
        <w:rPr>
          <w:rFonts w:ascii="Arial" w:hAnsi="Arial" w:cs="Arial"/>
          <w:lang w:val="es-US"/>
        </w:rPr>
        <w:t>A medida que obtenemos más información, descubrimos aspectos nuevos en el sistema inmunitario que nos ayudan a encontrar nuevos factores que pueden estar involucrados en el proceso de la HS. Es una época emocionante, ya que habrá más tratamientos con objetivos similares y diferentes en un futuro próximo.</w:t>
      </w:r>
    </w:p>
    <w:p w14:paraId="41DE2823" w14:textId="6B85FD31" w:rsidR="003B492E" w:rsidRPr="0014077B" w:rsidRDefault="003B492E" w:rsidP="00A14735">
      <w:pPr>
        <w:tabs>
          <w:tab w:val="left" w:pos="720"/>
        </w:tabs>
        <w:spacing w:line="245" w:lineRule="auto"/>
        <w:rPr>
          <w:rFonts w:ascii="Arial" w:hAnsi="Arial" w:cs="Arial"/>
          <w:b/>
          <w:bCs/>
          <w:color w:val="7030A0"/>
          <w:lang w:val="es-AR"/>
        </w:rPr>
      </w:pPr>
      <w:r w:rsidRPr="0014077B">
        <w:rPr>
          <w:rFonts w:ascii="Arial" w:hAnsi="Arial" w:cs="Arial"/>
          <w:b/>
          <w:bCs/>
          <w:color w:val="7030A0"/>
          <w:lang w:val="es-US"/>
        </w:rPr>
        <w:t>Se mencionó HUMIRA®, ¿pero qué sucede con AMGEVITA®?</w:t>
      </w:r>
    </w:p>
    <w:p w14:paraId="02B695C5" w14:textId="2733A598" w:rsidR="003B492E" w:rsidRPr="0014077B" w:rsidRDefault="003B492E" w:rsidP="00A14735">
      <w:pPr>
        <w:spacing w:line="245" w:lineRule="auto"/>
        <w:rPr>
          <w:rFonts w:ascii="Arial" w:hAnsi="Arial" w:cs="Arial"/>
          <w:lang w:val="es-AR"/>
        </w:rPr>
      </w:pPr>
      <w:r w:rsidRPr="0014077B">
        <w:rPr>
          <w:rFonts w:ascii="Arial" w:hAnsi="Arial" w:cs="Arial"/>
          <w:lang w:val="es-US"/>
        </w:rPr>
        <w:t xml:space="preserve">Tanto AMGEVITA® como HUMIRA® son el mismo medicamento: </w:t>
      </w:r>
      <w:proofErr w:type="spellStart"/>
      <w:r w:rsidRPr="0014077B">
        <w:rPr>
          <w:rFonts w:ascii="Arial" w:hAnsi="Arial" w:cs="Arial"/>
          <w:lang w:val="es-US"/>
        </w:rPr>
        <w:t>adalimumab</w:t>
      </w:r>
      <w:proofErr w:type="spellEnd"/>
      <w:r w:rsidRPr="0014077B">
        <w:rPr>
          <w:rFonts w:ascii="Arial" w:hAnsi="Arial" w:cs="Arial"/>
          <w:lang w:val="es-US"/>
        </w:rPr>
        <w:t>. Sin embargo, son fabricados por empresas diferentes y bajo marcas distintas.</w:t>
      </w:r>
    </w:p>
    <w:p w14:paraId="73FA5821" w14:textId="71D4A51D" w:rsidR="003B492E" w:rsidRPr="0014077B" w:rsidRDefault="003B492E" w:rsidP="00A14735">
      <w:pPr>
        <w:spacing w:line="245" w:lineRule="auto"/>
        <w:rPr>
          <w:rFonts w:ascii="Arial" w:hAnsi="Arial" w:cs="Arial"/>
          <w:b/>
          <w:bCs/>
          <w:color w:val="184CB4"/>
          <w:sz w:val="28"/>
          <w:szCs w:val="28"/>
          <w:lang w:val="es-AR"/>
        </w:rPr>
      </w:pPr>
    </w:p>
    <w:p w14:paraId="098239E2" w14:textId="71669DA9" w:rsidR="006F013D" w:rsidRPr="0014077B" w:rsidRDefault="006F013D" w:rsidP="00A14735">
      <w:pPr>
        <w:spacing w:line="245" w:lineRule="auto"/>
        <w:rPr>
          <w:rFonts w:ascii="Arial" w:eastAsia="Times New Roman" w:hAnsi="Arial" w:cs="Arial"/>
          <w:color w:val="184CB4"/>
          <w:sz w:val="28"/>
          <w:szCs w:val="28"/>
          <w:lang w:val="es-AR"/>
        </w:rPr>
      </w:pPr>
      <w:r w:rsidRPr="0014077B">
        <w:rPr>
          <w:rFonts w:ascii="Arial" w:hAnsi="Arial" w:cs="Arial"/>
          <w:b/>
          <w:bCs/>
          <w:color w:val="184CB4"/>
          <w:sz w:val="28"/>
          <w:szCs w:val="28"/>
          <w:lang w:val="es-US"/>
        </w:rPr>
        <w:t>Uso simultáneo de productos biológicos, tratamientos o cirugías</w:t>
      </w:r>
    </w:p>
    <w:p w14:paraId="63F344A1" w14:textId="77777777" w:rsidR="006F013D" w:rsidRPr="0014077B" w:rsidRDefault="006F013D" w:rsidP="00A14735">
      <w:pPr>
        <w:tabs>
          <w:tab w:val="left" w:pos="720"/>
        </w:tabs>
        <w:spacing w:line="245" w:lineRule="auto"/>
        <w:rPr>
          <w:rFonts w:ascii="Arial" w:hAnsi="Arial" w:cs="Arial"/>
          <w:b/>
          <w:bCs/>
          <w:color w:val="7030A0"/>
          <w:lang w:val="es-AR"/>
        </w:rPr>
      </w:pPr>
      <w:r w:rsidRPr="0014077B">
        <w:rPr>
          <w:rFonts w:ascii="Arial" w:hAnsi="Arial" w:cs="Arial"/>
          <w:b/>
          <w:bCs/>
          <w:color w:val="7030A0"/>
          <w:lang w:val="es-US"/>
        </w:rPr>
        <w:t xml:space="preserve">¿Qué sucede si se usan varios productos biológicos al mismo tiempo? </w:t>
      </w:r>
    </w:p>
    <w:p w14:paraId="069CB0CE" w14:textId="77777777" w:rsidR="006F013D" w:rsidRPr="0014077B" w:rsidRDefault="006F013D" w:rsidP="00A14735">
      <w:pPr>
        <w:tabs>
          <w:tab w:val="left" w:pos="720"/>
        </w:tabs>
        <w:spacing w:line="245" w:lineRule="auto"/>
        <w:rPr>
          <w:rFonts w:ascii="Arial" w:hAnsi="Arial" w:cs="Arial"/>
          <w:lang w:val="es-AR"/>
        </w:rPr>
      </w:pPr>
      <w:r w:rsidRPr="0014077B">
        <w:rPr>
          <w:rFonts w:ascii="Arial" w:hAnsi="Arial" w:cs="Arial"/>
          <w:lang w:val="es-US"/>
        </w:rPr>
        <w:t>La HS se suele tratar con varios medicamentos biológicos, ya que se considera una enfermedad con deficiencia de “medicamentos”. Sin embargo, hacer que las compañías de seguros cubran varios productos biológicos suele ser un desafío, ya que es casi imposible lograr que cubran dos medicamentos costosos.</w:t>
      </w:r>
    </w:p>
    <w:p w14:paraId="443779EB" w14:textId="7727C135" w:rsidR="006F013D" w:rsidRPr="0014077B" w:rsidRDefault="006F013D" w:rsidP="00A14735">
      <w:pPr>
        <w:keepNext/>
        <w:tabs>
          <w:tab w:val="left" w:pos="720"/>
        </w:tabs>
        <w:spacing w:after="120" w:line="245" w:lineRule="auto"/>
        <w:rPr>
          <w:rFonts w:ascii="Arial" w:hAnsi="Arial" w:cs="Arial"/>
          <w:b/>
          <w:bCs/>
          <w:color w:val="7030A0"/>
          <w:lang w:val="es-AR"/>
        </w:rPr>
      </w:pPr>
      <w:r w:rsidRPr="0014077B">
        <w:rPr>
          <w:rFonts w:ascii="Arial" w:hAnsi="Arial" w:cs="Arial"/>
          <w:b/>
          <w:bCs/>
          <w:color w:val="7030A0"/>
          <w:lang w:val="es-US"/>
        </w:rPr>
        <w:lastRenderedPageBreak/>
        <w:t>¿Pueden compartir más información sobre la combinación de cirugía y productos biológicos?</w:t>
      </w:r>
    </w:p>
    <w:p w14:paraId="1F4D1739" w14:textId="3196DE56" w:rsidR="006F013D" w:rsidRPr="0014077B" w:rsidRDefault="006F013D" w:rsidP="00A14735">
      <w:pPr>
        <w:tabs>
          <w:tab w:val="left" w:pos="720"/>
        </w:tabs>
        <w:spacing w:line="245" w:lineRule="auto"/>
        <w:rPr>
          <w:rFonts w:ascii="Arial" w:hAnsi="Arial" w:cs="Arial"/>
          <w:lang w:val="es-AR"/>
        </w:rPr>
      </w:pPr>
      <w:r w:rsidRPr="0014077B">
        <w:rPr>
          <w:rFonts w:ascii="Arial" w:hAnsi="Arial" w:cs="Arial"/>
          <w:lang w:val="es-US"/>
        </w:rPr>
        <w:t>Se debe continuar el tratamiento con productos biológicos durante la cirugía después de consultar con el proveedor de atención médica y el cirujano. Hay muchas pruebas que indican que las tasas de infección son similares en los pacientes que mantienen el control con productos biológicos durante la cirugía y en aquellos que suspenden la administración de dichos productos biológicos antes de la cirugía. También es muy evidente que suspender los productos biológicos antes de la cirugía provoca un empeoramiento severo de la enfermedad.</w:t>
      </w:r>
    </w:p>
    <w:p w14:paraId="6B8099EE" w14:textId="4C3E95FC" w:rsidR="006F013D" w:rsidRPr="0014077B" w:rsidRDefault="006F013D" w:rsidP="00A14735">
      <w:pPr>
        <w:tabs>
          <w:tab w:val="left" w:pos="720"/>
        </w:tabs>
        <w:spacing w:after="120" w:line="245" w:lineRule="auto"/>
        <w:rPr>
          <w:rFonts w:ascii="Arial" w:hAnsi="Arial" w:cs="Arial"/>
          <w:b/>
          <w:bCs/>
          <w:color w:val="7030A0"/>
          <w:lang w:val="es-AR"/>
        </w:rPr>
      </w:pPr>
      <w:r w:rsidRPr="0014077B">
        <w:rPr>
          <w:rFonts w:ascii="Arial" w:hAnsi="Arial" w:cs="Arial"/>
          <w:b/>
          <w:bCs/>
          <w:color w:val="7030A0"/>
          <w:lang w:val="es-US"/>
        </w:rPr>
        <w:t>¿Cuáles son los tratamientos no biológicos más frecuentes que se combinan con los productos biológicos?</w:t>
      </w:r>
    </w:p>
    <w:p w14:paraId="3F9E3074" w14:textId="3D79FDA0" w:rsidR="006F013D" w:rsidRPr="0014077B" w:rsidRDefault="006F013D" w:rsidP="00A14735">
      <w:pPr>
        <w:tabs>
          <w:tab w:val="left" w:pos="720"/>
        </w:tabs>
        <w:spacing w:line="245" w:lineRule="auto"/>
        <w:rPr>
          <w:rFonts w:ascii="Arial" w:hAnsi="Arial" w:cs="Arial"/>
          <w:noProof/>
          <w:lang w:val="es-AR"/>
        </w:rPr>
      </w:pPr>
      <w:r w:rsidRPr="0014077B">
        <w:rPr>
          <w:rFonts w:ascii="Arial" w:hAnsi="Arial" w:cs="Arial"/>
          <w:lang w:val="es-US"/>
        </w:rPr>
        <w:t>Los productos biológicos pueden combinarse prácticamente con cualquier otro tratamiento, ya que hay pocas interacciones entre los medicamentos que se suelen usar. Los antibióticos orales, la metformina, la espironolactona y la colchicina, entre otros, son buenas opciones.</w:t>
      </w:r>
      <w:r w:rsidRPr="0014077B">
        <w:rPr>
          <w:rFonts w:ascii="Arial" w:hAnsi="Arial" w:cs="Arial"/>
          <w:noProof/>
          <w:lang w:val="es-US"/>
        </w:rPr>
        <w:t xml:space="preserve"> </w:t>
      </w:r>
    </w:p>
    <w:p w14:paraId="492B4D2E" w14:textId="68679E91" w:rsidR="00433FC3" w:rsidRPr="0014077B" w:rsidRDefault="00433FC3" w:rsidP="00A14735">
      <w:pPr>
        <w:spacing w:line="245" w:lineRule="auto"/>
        <w:rPr>
          <w:rFonts w:ascii="Arial" w:hAnsi="Arial" w:cs="Arial"/>
          <w:shd w:val="clear" w:color="auto" w:fill="FFFFFF"/>
          <w:lang w:val="es-AR"/>
        </w:rPr>
      </w:pPr>
      <w:r w:rsidRPr="0014077B">
        <w:rPr>
          <w:rFonts w:ascii="Arial" w:hAnsi="Arial" w:cs="Arial"/>
          <w:b/>
          <w:bCs/>
          <w:i/>
          <w:iCs/>
          <w:color w:val="FFCC00"/>
          <w:sz w:val="24"/>
          <w:szCs w:val="24"/>
          <w:shd w:val="clear" w:color="auto" w:fill="FFFFFF"/>
          <w:lang w:val="es-US"/>
        </w:rPr>
        <w:t>Preguntas adicionales (que no se abordan en las preguntas frecuentes):</w:t>
      </w:r>
    </w:p>
    <w:p w14:paraId="0A16FD4C" w14:textId="328655CA" w:rsidR="00433FC3" w:rsidRPr="0014077B" w:rsidRDefault="00433FC3" w:rsidP="00A14735">
      <w:pPr>
        <w:tabs>
          <w:tab w:val="left" w:pos="720"/>
        </w:tabs>
        <w:spacing w:after="120" w:line="245" w:lineRule="auto"/>
        <w:rPr>
          <w:rFonts w:ascii="Arial" w:hAnsi="Arial" w:cs="Arial"/>
          <w:b/>
          <w:bCs/>
          <w:color w:val="7030A0"/>
          <w:lang w:val="es-AR"/>
        </w:rPr>
      </w:pPr>
      <w:r w:rsidRPr="0014077B">
        <w:rPr>
          <w:rFonts w:ascii="Arial" w:hAnsi="Arial" w:cs="Arial"/>
          <w:b/>
          <w:bCs/>
          <w:color w:val="7030A0"/>
          <w:lang w:val="es-US"/>
        </w:rPr>
        <w:t>¿Se pueden combinar productos biológicos con clindamicina y doxiciclina? ¿Qué otros antibióticos se usan?</w:t>
      </w:r>
    </w:p>
    <w:p w14:paraId="2EFFF8E5" w14:textId="11CFCDCD" w:rsidR="00433FC3" w:rsidRPr="0014077B" w:rsidRDefault="00433FC3" w:rsidP="00A14735">
      <w:pPr>
        <w:tabs>
          <w:tab w:val="left" w:pos="720"/>
        </w:tabs>
        <w:spacing w:line="245" w:lineRule="auto"/>
        <w:rPr>
          <w:rFonts w:ascii="Arial" w:hAnsi="Arial" w:cs="Arial"/>
          <w:lang w:val="es-AR"/>
        </w:rPr>
      </w:pPr>
      <w:r w:rsidRPr="0014077B">
        <w:rPr>
          <w:rFonts w:ascii="Arial" w:hAnsi="Arial" w:cs="Arial"/>
          <w:lang w:val="es-US"/>
        </w:rPr>
        <w:t>Sí, el uso conjunto de productos biológicos y antibióticos orales constituye un tratamiento combinado frecuente. BACTRIM® y AUGMENTIN®, entre otros, son buenas opciones. Todas las opciones de tratamiento deben analizarse con el médico tratante.</w:t>
      </w:r>
    </w:p>
    <w:p w14:paraId="662753AB" w14:textId="409E3E56" w:rsidR="006F013D" w:rsidRPr="0014077B" w:rsidRDefault="006F013D" w:rsidP="00A14735">
      <w:pPr>
        <w:spacing w:line="245" w:lineRule="auto"/>
        <w:rPr>
          <w:rFonts w:ascii="Arial" w:hAnsi="Arial" w:cs="Arial"/>
          <w:color w:val="184CB4"/>
          <w:sz w:val="28"/>
          <w:szCs w:val="28"/>
          <w:lang w:val="es-AR"/>
        </w:rPr>
      </w:pPr>
      <w:r w:rsidRPr="0014077B">
        <w:rPr>
          <w:rFonts w:ascii="Arial" w:hAnsi="Arial" w:cs="Arial"/>
          <w:b/>
          <w:bCs/>
          <w:color w:val="184CB4"/>
          <w:sz w:val="28"/>
          <w:szCs w:val="28"/>
          <w:lang w:val="es-US"/>
        </w:rPr>
        <w:t>Información para poblaciones específicas</w:t>
      </w:r>
    </w:p>
    <w:p w14:paraId="0DC1ABE7" w14:textId="6330EBE4" w:rsidR="006F013D" w:rsidRPr="0014077B" w:rsidRDefault="006F013D" w:rsidP="00A14735">
      <w:pPr>
        <w:tabs>
          <w:tab w:val="left" w:pos="720"/>
        </w:tabs>
        <w:spacing w:line="245" w:lineRule="auto"/>
        <w:rPr>
          <w:rFonts w:ascii="Arial" w:hAnsi="Arial" w:cs="Arial"/>
          <w:b/>
          <w:bCs/>
          <w:color w:val="7030A0"/>
          <w:lang w:val="es-AR"/>
        </w:rPr>
      </w:pPr>
      <w:r w:rsidRPr="0014077B">
        <w:rPr>
          <w:rFonts w:ascii="Arial" w:hAnsi="Arial" w:cs="Arial"/>
          <w:b/>
          <w:bCs/>
          <w:color w:val="7030A0"/>
          <w:lang w:val="es-US"/>
        </w:rPr>
        <w:t>¿Qué productos biológicos son seguros durante el embarazo o al intentar concebir?</w:t>
      </w:r>
    </w:p>
    <w:p w14:paraId="59EC7C28" w14:textId="77777777" w:rsidR="006F013D" w:rsidRPr="0014077B" w:rsidRDefault="006F013D" w:rsidP="00A14735">
      <w:pPr>
        <w:tabs>
          <w:tab w:val="left" w:pos="720"/>
        </w:tabs>
        <w:spacing w:line="245" w:lineRule="auto"/>
        <w:rPr>
          <w:rFonts w:ascii="Arial" w:hAnsi="Arial" w:cs="Arial"/>
          <w:lang w:val="es-AR"/>
        </w:rPr>
      </w:pPr>
      <w:r w:rsidRPr="0014077B">
        <w:rPr>
          <w:rFonts w:ascii="Arial" w:hAnsi="Arial" w:cs="Arial"/>
          <w:lang w:val="es-US"/>
        </w:rPr>
        <w:t xml:space="preserve">Según el mecanismo de acción del producto biológico, tendrá un perfil de seguridad diferente para el embarazo o la concepción. Sin embargo, actualmente, no hay suficiente información sobre el impacto de los medicamentos biológicos en el embarazo. Durante el embarazo, la mayoría de los productos biológicos tienen la capacidad de atravesar la placenta y llegar al feto. El </w:t>
      </w:r>
      <w:proofErr w:type="spellStart"/>
      <w:r w:rsidRPr="0014077B">
        <w:rPr>
          <w:rFonts w:ascii="Arial" w:hAnsi="Arial" w:cs="Arial"/>
          <w:lang w:val="es-US"/>
        </w:rPr>
        <w:t>certolizumab</w:t>
      </w:r>
      <w:proofErr w:type="spellEnd"/>
      <w:r w:rsidRPr="0014077B">
        <w:rPr>
          <w:rFonts w:ascii="Arial" w:hAnsi="Arial" w:cs="Arial"/>
          <w:lang w:val="es-US"/>
        </w:rPr>
        <w:t xml:space="preserve"> es un producto biológico con un nivel mínimo de transferencia a la placenta y la leche materna, con los mejores datos de seguridad para el embarazo.</w:t>
      </w:r>
    </w:p>
    <w:p w14:paraId="6063F00F" w14:textId="30481A08" w:rsidR="006F013D" w:rsidRPr="0014077B" w:rsidRDefault="006F013D" w:rsidP="00A14735">
      <w:pPr>
        <w:spacing w:after="120" w:line="245" w:lineRule="auto"/>
        <w:rPr>
          <w:rFonts w:ascii="Arial" w:hAnsi="Arial" w:cs="Arial"/>
          <w:b/>
          <w:bCs/>
          <w:color w:val="7030A0"/>
          <w:lang w:val="es-AR"/>
        </w:rPr>
      </w:pPr>
      <w:r w:rsidRPr="0014077B">
        <w:rPr>
          <w:rFonts w:ascii="Arial" w:hAnsi="Arial" w:cs="Arial"/>
          <w:b/>
          <w:bCs/>
          <w:color w:val="7030A0"/>
          <w:lang w:val="es-US"/>
        </w:rPr>
        <w:t xml:space="preserve">¿Hay pruebas que indican que los productos biológicos pueden curar varias afecciones a la vez (por ejemplo, psoriasis, artritis y HS)? </w:t>
      </w:r>
    </w:p>
    <w:p w14:paraId="74FD4E01" w14:textId="7F94264D" w:rsidR="006F013D" w:rsidRPr="0014077B" w:rsidRDefault="006F013D" w:rsidP="00A14735">
      <w:pPr>
        <w:spacing w:line="245" w:lineRule="auto"/>
        <w:rPr>
          <w:rFonts w:ascii="Arial" w:hAnsi="Arial" w:cs="Arial"/>
          <w:lang w:val="es-AR"/>
        </w:rPr>
      </w:pPr>
      <w:r w:rsidRPr="0014077B">
        <w:rPr>
          <w:rFonts w:ascii="Arial" w:hAnsi="Arial" w:cs="Arial"/>
          <w:lang w:val="es-US"/>
        </w:rPr>
        <w:t xml:space="preserve">Debido a que los productos biológicos actúan a nivel celular, pueden tratar varias enfermedades con mecanismos subyacentes similares. Los pacientes con HS corren un mayor riesgo de padecer otras afecciones, como enfermedad inflamatoria intestinal, artritis reumatoide, psoriasis y otros tipos de </w:t>
      </w:r>
      <w:proofErr w:type="spellStart"/>
      <w:r w:rsidRPr="0014077B">
        <w:rPr>
          <w:rFonts w:ascii="Arial" w:hAnsi="Arial" w:cs="Arial"/>
          <w:lang w:val="es-US"/>
        </w:rPr>
        <w:t>espondiloartropatías</w:t>
      </w:r>
      <w:proofErr w:type="spellEnd"/>
      <w:r w:rsidRPr="0014077B">
        <w:rPr>
          <w:rFonts w:ascii="Arial" w:hAnsi="Arial" w:cs="Arial"/>
          <w:lang w:val="es-US"/>
        </w:rPr>
        <w:t>. En estos casos, con un solo medicamento, se pueden tratar varias afecciones en el mismo paciente.</w:t>
      </w:r>
    </w:p>
    <w:p w14:paraId="34A68568" w14:textId="4F741337" w:rsidR="006F013D" w:rsidRPr="0014077B" w:rsidRDefault="006F013D" w:rsidP="00A14735">
      <w:pPr>
        <w:tabs>
          <w:tab w:val="left" w:pos="720"/>
        </w:tabs>
        <w:spacing w:after="120" w:line="245" w:lineRule="auto"/>
        <w:rPr>
          <w:rFonts w:ascii="Arial" w:hAnsi="Arial" w:cs="Arial"/>
          <w:b/>
          <w:bCs/>
          <w:color w:val="7030A0"/>
          <w:lang w:val="es-AR"/>
        </w:rPr>
      </w:pPr>
      <w:r w:rsidRPr="0014077B">
        <w:rPr>
          <w:rFonts w:ascii="Arial" w:hAnsi="Arial" w:cs="Arial"/>
          <w:b/>
          <w:bCs/>
          <w:color w:val="7030A0"/>
          <w:lang w:val="es-US"/>
        </w:rPr>
        <w:t>¿Es seguro amamantar mientras se recibe tratamiento con un producto biológico?</w:t>
      </w:r>
    </w:p>
    <w:p w14:paraId="302A16B1" w14:textId="32E782A2" w:rsidR="006F013D" w:rsidRPr="0014077B" w:rsidRDefault="006F013D" w:rsidP="00A14735">
      <w:pPr>
        <w:spacing w:line="245" w:lineRule="auto"/>
        <w:rPr>
          <w:rFonts w:ascii="Arial" w:hAnsi="Arial" w:cs="Arial"/>
          <w:lang w:val="es-AR"/>
        </w:rPr>
      </w:pPr>
      <w:r w:rsidRPr="0014077B">
        <w:rPr>
          <w:rFonts w:ascii="Arial" w:hAnsi="Arial" w:cs="Arial"/>
          <w:lang w:val="es-US"/>
        </w:rPr>
        <w:t xml:space="preserve">La información sobre la seguridad de los productos biológicos y la lactancia es limitada, excepto en el caso del </w:t>
      </w:r>
      <w:proofErr w:type="spellStart"/>
      <w:r w:rsidRPr="0014077B">
        <w:rPr>
          <w:rFonts w:ascii="Arial" w:hAnsi="Arial" w:cs="Arial"/>
          <w:lang w:val="es-US"/>
        </w:rPr>
        <w:t>certolizumab</w:t>
      </w:r>
      <w:proofErr w:type="spellEnd"/>
      <w:r w:rsidRPr="0014077B">
        <w:rPr>
          <w:rFonts w:ascii="Arial" w:hAnsi="Arial" w:cs="Arial"/>
          <w:lang w:val="es-US"/>
        </w:rPr>
        <w:t>. Sin embargo, los medicamentos biológicos suelen estar formados por proteínas de gran tamaño. Incluso aunque estas proteínas estén presentes en la leche materna, el producto biológico debería descomponerse en el sistema digestivo del bebé sin causar daños. No obstante, se desconocen la expresión y el impacto de los ingredientes inactivos en los bebés.</w:t>
      </w:r>
      <w:r w:rsidR="00A14735" w:rsidRPr="0014077B">
        <w:rPr>
          <w:rFonts w:ascii="Arial" w:hAnsi="Arial" w:cs="Arial"/>
          <w:lang w:val="es-US"/>
        </w:rPr>
        <w:t xml:space="preserve"> </w:t>
      </w:r>
      <w:r w:rsidRPr="0014077B">
        <w:rPr>
          <w:rFonts w:ascii="Arial" w:hAnsi="Arial" w:cs="Arial"/>
          <w:lang w:val="es-US"/>
        </w:rPr>
        <w:t xml:space="preserve">Es importante hablar con el médico acerca de las pruebas de seguridad sobre la lactancia materna del medicamento biológico específico que esté recibiendo. </w:t>
      </w:r>
    </w:p>
    <w:p w14:paraId="59B5543F" w14:textId="14F9410F" w:rsidR="006F013D" w:rsidRPr="0014077B" w:rsidRDefault="00556DA9" w:rsidP="00A14735">
      <w:pPr>
        <w:spacing w:line="245" w:lineRule="auto"/>
        <w:rPr>
          <w:rFonts w:ascii="Arial" w:hAnsi="Arial" w:cs="Arial"/>
          <w:color w:val="184CB4"/>
          <w:sz w:val="28"/>
          <w:szCs w:val="28"/>
          <w:lang w:val="es-AR"/>
        </w:rPr>
      </w:pPr>
      <w:r w:rsidRPr="0014077B">
        <w:rPr>
          <w:rFonts w:ascii="Arial" w:hAnsi="Arial" w:cs="Arial"/>
          <w:b/>
          <w:bCs/>
          <w:color w:val="184CB4"/>
          <w:sz w:val="28"/>
          <w:szCs w:val="28"/>
          <w:lang w:val="es-US"/>
        </w:rPr>
        <w:lastRenderedPageBreak/>
        <w:t>Efectos secundarios, disminución progresiva del tratamiento y cambio de producto biológico</w:t>
      </w:r>
    </w:p>
    <w:p w14:paraId="1C6DEDD3" w14:textId="59685DE3" w:rsidR="006F013D" w:rsidRPr="0014077B" w:rsidRDefault="006F013D" w:rsidP="00A14735">
      <w:pPr>
        <w:spacing w:line="245" w:lineRule="auto"/>
        <w:rPr>
          <w:rFonts w:ascii="Arial" w:hAnsi="Arial" w:cs="Arial"/>
          <w:b/>
          <w:bCs/>
          <w:color w:val="7030A0"/>
          <w:lang w:val="es-AR"/>
        </w:rPr>
      </w:pPr>
      <w:r w:rsidRPr="0014077B">
        <w:rPr>
          <w:rFonts w:ascii="Arial" w:hAnsi="Arial" w:cs="Arial"/>
          <w:b/>
          <w:bCs/>
          <w:color w:val="7030A0"/>
          <w:lang w:val="es-US"/>
        </w:rPr>
        <w:t>¿Cuánto tiempo tardan los productos biológicos, como HUMIRA® o COSENTYX®, en eliminarse del cuerpo?</w:t>
      </w:r>
      <w:r w:rsidR="00A14735" w:rsidRPr="0014077B">
        <w:rPr>
          <w:rFonts w:ascii="Arial" w:hAnsi="Arial" w:cs="Arial"/>
          <w:b/>
          <w:bCs/>
          <w:color w:val="7030A0"/>
          <w:lang w:val="es-US"/>
        </w:rPr>
        <w:t xml:space="preserve"> </w:t>
      </w:r>
      <w:r w:rsidRPr="0014077B">
        <w:rPr>
          <w:rFonts w:ascii="Arial" w:hAnsi="Arial" w:cs="Arial"/>
          <w:b/>
          <w:bCs/>
          <w:color w:val="7030A0"/>
          <w:lang w:val="es-US"/>
        </w:rPr>
        <w:t>¿Cuáles son los efectos secundarios de intentar disminuir progresivamente un medicamento biológico y cuánto duran dichos efectos secundarios?</w:t>
      </w:r>
    </w:p>
    <w:p w14:paraId="40497192" w14:textId="1E6D36D8" w:rsidR="006F013D" w:rsidRPr="0014077B" w:rsidRDefault="006F013D" w:rsidP="00A14735">
      <w:pPr>
        <w:tabs>
          <w:tab w:val="left" w:pos="720"/>
        </w:tabs>
        <w:spacing w:line="245" w:lineRule="auto"/>
        <w:rPr>
          <w:rFonts w:ascii="Arial" w:hAnsi="Arial" w:cs="Arial"/>
          <w:lang w:val="es-AR"/>
        </w:rPr>
      </w:pPr>
      <w:r w:rsidRPr="0014077B">
        <w:rPr>
          <w:rFonts w:ascii="Arial" w:hAnsi="Arial" w:cs="Arial"/>
          <w:lang w:val="es-US"/>
        </w:rPr>
        <w:t>HUMIRA® tarda alrededor de 8 semanas en eliminarse del cuerpo y COSENTYX®, aproximadamente 16 semanas.</w:t>
      </w:r>
      <w:r w:rsidR="00A14735" w:rsidRPr="0014077B">
        <w:rPr>
          <w:rFonts w:ascii="Arial" w:hAnsi="Arial" w:cs="Arial"/>
          <w:lang w:val="es-US"/>
        </w:rPr>
        <w:t xml:space="preserve"> </w:t>
      </w:r>
      <w:r w:rsidRPr="0014077B">
        <w:rPr>
          <w:rFonts w:ascii="Arial" w:hAnsi="Arial" w:cs="Arial"/>
          <w:lang w:val="es-US"/>
        </w:rPr>
        <w:t>En general, no se recomienda disminuir progresivamente el medicamento biológico.</w:t>
      </w:r>
      <w:r w:rsidR="00A14735" w:rsidRPr="0014077B">
        <w:rPr>
          <w:rFonts w:ascii="Arial" w:hAnsi="Arial" w:cs="Arial"/>
          <w:lang w:val="es-US"/>
        </w:rPr>
        <w:t xml:space="preserve"> </w:t>
      </w:r>
      <w:r w:rsidRPr="0014077B">
        <w:rPr>
          <w:rFonts w:ascii="Arial" w:hAnsi="Arial" w:cs="Arial"/>
          <w:lang w:val="es-US"/>
        </w:rPr>
        <w:t>Si decide suspender el medicamento, en general se suspende sin disminuir la dosis progresivamente. Si presenta efectos secundarios a causa de un producto biológico, es posible que estos continúen hasta que el medicamento se elimine del cuerpo.</w:t>
      </w:r>
      <w:r w:rsidR="00A14735" w:rsidRPr="0014077B">
        <w:rPr>
          <w:rFonts w:ascii="Arial" w:hAnsi="Arial" w:cs="Arial"/>
          <w:lang w:val="es-US"/>
        </w:rPr>
        <w:t xml:space="preserve"> </w:t>
      </w:r>
      <w:r w:rsidRPr="0014077B">
        <w:rPr>
          <w:rFonts w:ascii="Arial" w:hAnsi="Arial" w:cs="Arial"/>
          <w:lang w:val="es-US"/>
        </w:rPr>
        <w:t>Sin embargo, es razonable esperar que este tipo de efectos secundarios sean menos severos con el tiempo, a medida que disminuyen los niveles del medicamento presentes en el cuerpo.</w:t>
      </w:r>
    </w:p>
    <w:p w14:paraId="5C96D789" w14:textId="76298B10" w:rsidR="006F013D" w:rsidRPr="0014077B" w:rsidRDefault="006F013D" w:rsidP="00A14735">
      <w:pPr>
        <w:spacing w:line="245" w:lineRule="auto"/>
        <w:rPr>
          <w:rFonts w:ascii="Arial" w:hAnsi="Arial" w:cs="Arial"/>
          <w:b/>
          <w:bCs/>
          <w:color w:val="7030A0"/>
          <w:lang w:val="es-AR"/>
        </w:rPr>
      </w:pPr>
      <w:r w:rsidRPr="0014077B">
        <w:rPr>
          <w:rFonts w:ascii="Arial" w:hAnsi="Arial" w:cs="Arial"/>
          <w:b/>
          <w:bCs/>
          <w:color w:val="7030A0"/>
          <w:lang w:val="es-US"/>
        </w:rPr>
        <w:t>¿La fatiga es un efecto secundario de las inyecciones de productos biológicos?</w:t>
      </w:r>
    </w:p>
    <w:p w14:paraId="21D79962" w14:textId="02186E72" w:rsidR="006F013D" w:rsidRPr="0014077B" w:rsidRDefault="006F013D" w:rsidP="00A14735">
      <w:pPr>
        <w:spacing w:after="0" w:line="245" w:lineRule="auto"/>
        <w:rPr>
          <w:rFonts w:ascii="Arial" w:hAnsi="Arial" w:cs="Arial"/>
          <w:lang w:val="es-AR"/>
        </w:rPr>
      </w:pPr>
      <w:r w:rsidRPr="0014077B">
        <w:rPr>
          <w:rFonts w:ascii="Arial" w:hAnsi="Arial" w:cs="Arial"/>
          <w:lang w:val="es-US"/>
        </w:rPr>
        <w:t>Esto depende del producto biológico.</w:t>
      </w:r>
      <w:r w:rsidR="00A14735" w:rsidRPr="0014077B">
        <w:rPr>
          <w:rFonts w:ascii="Arial" w:hAnsi="Arial" w:cs="Arial"/>
          <w:lang w:val="es-US"/>
        </w:rPr>
        <w:t xml:space="preserve"> </w:t>
      </w:r>
      <w:r w:rsidRPr="0014077B">
        <w:rPr>
          <w:rFonts w:ascii="Arial" w:hAnsi="Arial" w:cs="Arial"/>
          <w:lang w:val="es-US"/>
        </w:rPr>
        <w:t>Según la información disponible, la FDA no cree que la fatiga sea un efecto secundario de HUMIRA® o COSENTYX®.</w:t>
      </w:r>
      <w:r w:rsidR="00A14735" w:rsidRPr="0014077B">
        <w:rPr>
          <w:rFonts w:ascii="Arial" w:hAnsi="Arial" w:cs="Arial"/>
          <w:lang w:val="es-US"/>
        </w:rPr>
        <w:t xml:space="preserve"> </w:t>
      </w:r>
    </w:p>
    <w:p w14:paraId="189E7EB9" w14:textId="3E80455D" w:rsidR="00DD03B3" w:rsidRPr="0014077B" w:rsidRDefault="00DD03B3" w:rsidP="00A14735">
      <w:pPr>
        <w:spacing w:after="120" w:line="245" w:lineRule="auto"/>
        <w:rPr>
          <w:rFonts w:ascii="Arial" w:hAnsi="Arial" w:cs="Arial"/>
          <w:b/>
          <w:bCs/>
          <w:i/>
          <w:iCs/>
          <w:color w:val="FFCC00"/>
          <w:sz w:val="24"/>
          <w:szCs w:val="24"/>
          <w:shd w:val="clear" w:color="auto" w:fill="FFFFFF"/>
          <w:lang w:val="es-AR"/>
        </w:rPr>
      </w:pPr>
    </w:p>
    <w:p w14:paraId="3E23ED5E" w14:textId="7F8E668C" w:rsidR="00433FC3" w:rsidRPr="0014077B" w:rsidRDefault="00433FC3" w:rsidP="00A14735">
      <w:pPr>
        <w:spacing w:line="245" w:lineRule="auto"/>
        <w:rPr>
          <w:rFonts w:ascii="Arial" w:hAnsi="Arial" w:cs="Arial"/>
          <w:shd w:val="clear" w:color="auto" w:fill="FFFFFF"/>
          <w:lang w:val="es-AR"/>
        </w:rPr>
      </w:pPr>
      <w:r w:rsidRPr="0014077B">
        <w:rPr>
          <w:rFonts w:ascii="Arial" w:hAnsi="Arial" w:cs="Arial"/>
          <w:b/>
          <w:bCs/>
          <w:i/>
          <w:iCs/>
          <w:color w:val="FFCC00"/>
          <w:sz w:val="24"/>
          <w:szCs w:val="24"/>
          <w:shd w:val="clear" w:color="auto" w:fill="FFFFFF"/>
          <w:lang w:val="es-US"/>
        </w:rPr>
        <w:t>Preguntas adicionales (que no se abordan en las preguntas frecuentes):</w:t>
      </w:r>
    </w:p>
    <w:p w14:paraId="2411CFD9" w14:textId="5BCE8745" w:rsidR="00433FC3" w:rsidRPr="0014077B" w:rsidRDefault="00433FC3" w:rsidP="00A14735">
      <w:pPr>
        <w:spacing w:line="245" w:lineRule="auto"/>
        <w:rPr>
          <w:rFonts w:ascii="Arial" w:hAnsi="Arial" w:cs="Arial"/>
          <w:b/>
          <w:bCs/>
          <w:color w:val="7030A0"/>
          <w:lang w:val="es-AR"/>
        </w:rPr>
      </w:pPr>
      <w:r w:rsidRPr="0014077B">
        <w:rPr>
          <w:rFonts w:ascii="Arial" w:hAnsi="Arial" w:cs="Arial"/>
          <w:b/>
          <w:bCs/>
          <w:color w:val="7030A0"/>
          <w:lang w:val="es-US"/>
        </w:rPr>
        <w:t>Si alguien recibe tratamiento con un producto biológico durante varios años y luego cambia a otro, ¿se puede probar un tercer producto biológico inmediatamente o es necesario que pase cierto tiempo antes de hacerlo?</w:t>
      </w:r>
      <w:r w:rsidRPr="0014077B">
        <w:rPr>
          <w:rFonts w:ascii="Arial" w:hAnsi="Arial" w:cs="Arial"/>
          <w:noProof/>
          <w:lang w:val="es-US"/>
        </w:rPr>
        <w:t xml:space="preserve"> </w:t>
      </w:r>
    </w:p>
    <w:p w14:paraId="5A5F8D79" w14:textId="7E00E049" w:rsidR="00433FC3" w:rsidRPr="0014077B" w:rsidRDefault="00433FC3" w:rsidP="00A14735">
      <w:pPr>
        <w:spacing w:line="245" w:lineRule="auto"/>
        <w:rPr>
          <w:rFonts w:ascii="Arial" w:hAnsi="Arial" w:cs="Arial"/>
          <w:lang w:val="es-AR"/>
        </w:rPr>
      </w:pPr>
      <w:r w:rsidRPr="0014077B">
        <w:rPr>
          <w:rFonts w:ascii="Arial" w:hAnsi="Arial" w:cs="Arial"/>
          <w:lang w:val="es-US"/>
        </w:rPr>
        <w:t>No es necesario que pase cierto tiempo entre la suspensión de un producto biológico y el inicio del tratamiento con otro.</w:t>
      </w:r>
    </w:p>
    <w:p w14:paraId="1EC34C67" w14:textId="502BB1D6" w:rsidR="00433FC3" w:rsidRPr="0014077B" w:rsidRDefault="00433FC3" w:rsidP="00A14735">
      <w:pPr>
        <w:spacing w:line="245" w:lineRule="auto"/>
        <w:rPr>
          <w:rFonts w:ascii="Arial" w:hAnsi="Arial" w:cs="Arial"/>
          <w:b/>
          <w:bCs/>
          <w:color w:val="7030A0"/>
          <w:lang w:val="es-AR"/>
        </w:rPr>
      </w:pPr>
      <w:r w:rsidRPr="0014077B">
        <w:rPr>
          <w:rFonts w:ascii="Arial" w:hAnsi="Arial" w:cs="Arial"/>
          <w:b/>
          <w:bCs/>
          <w:color w:val="7030A0"/>
          <w:lang w:val="es-US"/>
        </w:rPr>
        <w:t>¿Es seguro recibir la vacuna contra la COVID-19 mientras se recibe tratamiento con HUMIRA®?</w:t>
      </w:r>
    </w:p>
    <w:p w14:paraId="4556BF0B" w14:textId="5722581A" w:rsidR="00433FC3" w:rsidRPr="0014077B" w:rsidRDefault="00433FC3" w:rsidP="00A14735">
      <w:pPr>
        <w:spacing w:after="0" w:line="245" w:lineRule="auto"/>
        <w:rPr>
          <w:rFonts w:ascii="Arial" w:hAnsi="Arial" w:cs="Arial"/>
          <w:lang w:val="es-AR"/>
        </w:rPr>
      </w:pPr>
      <w:r w:rsidRPr="0014077B">
        <w:rPr>
          <w:rFonts w:ascii="Arial" w:hAnsi="Arial" w:cs="Arial"/>
          <w:lang w:val="es-US"/>
        </w:rPr>
        <w:t>Sí.</w:t>
      </w:r>
      <w:r w:rsidR="00A14735" w:rsidRPr="0014077B">
        <w:rPr>
          <w:rFonts w:ascii="Arial" w:hAnsi="Arial" w:cs="Arial"/>
          <w:lang w:val="es-US"/>
        </w:rPr>
        <w:t xml:space="preserve"> </w:t>
      </w:r>
      <w:r w:rsidRPr="0014077B">
        <w:rPr>
          <w:rFonts w:ascii="Arial" w:hAnsi="Arial" w:cs="Arial"/>
          <w:lang w:val="es-US"/>
        </w:rPr>
        <w:t>No hay pruebas que indiquen que los pacientes que reciben tratamiento con HUMIRA® corran un mayor riesgo tras recibir la vacuna contra la enfermedad coronavírica de 2019 (COVID-19) en comparación con aquellos que no reciben la vacuna.</w:t>
      </w:r>
      <w:r w:rsidR="00A14735" w:rsidRPr="0014077B">
        <w:rPr>
          <w:rFonts w:ascii="Arial" w:hAnsi="Arial" w:cs="Arial"/>
          <w:lang w:val="es-US"/>
        </w:rPr>
        <w:t xml:space="preserve"> </w:t>
      </w:r>
      <w:r w:rsidRPr="0014077B">
        <w:rPr>
          <w:rFonts w:ascii="Arial" w:hAnsi="Arial" w:cs="Arial"/>
          <w:lang w:val="es-US"/>
        </w:rPr>
        <w:t>De hecho, a excepción de las vacunas con microorganismos vivos (por ejemplo, la vacuna contra la gripe que se administra a través de la nariz), no hay pruebas de que los pacientes que reciben tratamiento con HUMIRA® corran un mayor riesgo al colocarse cualquier vacuna.</w:t>
      </w:r>
    </w:p>
    <w:p w14:paraId="2ECFA480" w14:textId="77AA2B68" w:rsidR="006F013D" w:rsidRPr="0014077B" w:rsidRDefault="006F013D" w:rsidP="00A14735">
      <w:pPr>
        <w:spacing w:line="245" w:lineRule="auto"/>
        <w:rPr>
          <w:rFonts w:ascii="Arial" w:hAnsi="Arial" w:cs="Arial"/>
          <w:sz w:val="28"/>
          <w:szCs w:val="28"/>
          <w:lang w:val="es-AR"/>
        </w:rPr>
      </w:pPr>
    </w:p>
    <w:p w14:paraId="38929B15" w14:textId="1AA6D68A" w:rsidR="00433FC3" w:rsidRPr="0014077B" w:rsidRDefault="00433FC3" w:rsidP="00A14735">
      <w:pPr>
        <w:spacing w:line="245" w:lineRule="auto"/>
        <w:rPr>
          <w:rFonts w:ascii="Arial" w:hAnsi="Arial" w:cs="Arial"/>
          <w:shd w:val="clear" w:color="auto" w:fill="FFFFFF"/>
          <w:lang w:val="es-AR"/>
        </w:rPr>
      </w:pPr>
      <w:r w:rsidRPr="0014077B">
        <w:rPr>
          <w:rFonts w:ascii="Arial" w:hAnsi="Arial" w:cs="Arial"/>
          <w:b/>
          <w:bCs/>
          <w:color w:val="184CB4"/>
          <w:sz w:val="28"/>
          <w:szCs w:val="28"/>
          <w:lang w:val="es-US"/>
        </w:rPr>
        <w:t xml:space="preserve">Información general sobre la HS </w:t>
      </w:r>
      <w:r w:rsidRPr="0014077B">
        <w:rPr>
          <w:rFonts w:ascii="Arial" w:hAnsi="Arial" w:cs="Arial"/>
          <w:b/>
          <w:bCs/>
          <w:i/>
          <w:iCs/>
          <w:color w:val="FFCC00"/>
          <w:sz w:val="24"/>
          <w:szCs w:val="24"/>
          <w:shd w:val="clear" w:color="auto" w:fill="FFFFFF"/>
          <w:lang w:val="es-US"/>
        </w:rPr>
        <w:t>(que no se aborda en las preguntas frecuentes)</w:t>
      </w:r>
    </w:p>
    <w:p w14:paraId="18A2388B" w14:textId="77777777" w:rsidR="00433FC3" w:rsidRPr="0014077B" w:rsidRDefault="00433FC3" w:rsidP="00A14735">
      <w:pPr>
        <w:spacing w:line="245" w:lineRule="auto"/>
        <w:rPr>
          <w:rFonts w:ascii="Arial" w:hAnsi="Arial" w:cs="Arial"/>
          <w:b/>
          <w:bCs/>
          <w:color w:val="7030A0"/>
          <w:lang w:val="es-AR"/>
        </w:rPr>
      </w:pPr>
      <w:r w:rsidRPr="0014077B">
        <w:rPr>
          <w:rFonts w:ascii="Arial" w:hAnsi="Arial" w:cs="Arial"/>
          <w:b/>
          <w:bCs/>
          <w:color w:val="7030A0"/>
          <w:lang w:val="es-US"/>
        </w:rPr>
        <w:t>¿Cuáles son los diferentes estadios de la HS?</w:t>
      </w:r>
    </w:p>
    <w:p w14:paraId="225FF8A0" w14:textId="59707D73" w:rsidR="00433FC3" w:rsidRPr="0014077B" w:rsidRDefault="00433FC3" w:rsidP="00A14735">
      <w:pPr>
        <w:spacing w:line="245" w:lineRule="auto"/>
        <w:rPr>
          <w:rFonts w:ascii="Arial" w:hAnsi="Arial" w:cs="Arial"/>
          <w:lang w:val="es-AR"/>
        </w:rPr>
      </w:pPr>
      <w:r w:rsidRPr="0014077B">
        <w:rPr>
          <w:rFonts w:ascii="Arial" w:hAnsi="Arial" w:cs="Arial"/>
          <w:lang w:val="es-US"/>
        </w:rPr>
        <w:t>El sistema de estadificación de la HS se basa en los tipos de lesiones de HS y en la cantidad de cicatrices que presente.</w:t>
      </w:r>
      <w:r w:rsidR="00A14735" w:rsidRPr="0014077B">
        <w:rPr>
          <w:rFonts w:ascii="Arial" w:hAnsi="Arial" w:cs="Arial"/>
          <w:lang w:val="es-US"/>
        </w:rPr>
        <w:t xml:space="preserve"> </w:t>
      </w:r>
      <w:r w:rsidRPr="0014077B">
        <w:rPr>
          <w:rFonts w:ascii="Arial" w:hAnsi="Arial" w:cs="Arial"/>
          <w:lang w:val="es-US"/>
        </w:rPr>
        <w:t>Es importante saber que las personas con HS en estadio uno (I) pueden tener síntomas importantes y verse muy afectadas por la enfermedad.</w:t>
      </w:r>
    </w:p>
    <w:p w14:paraId="56D1DA94" w14:textId="77777777" w:rsidR="00433FC3" w:rsidRPr="0014077B" w:rsidRDefault="00433FC3" w:rsidP="00A14735">
      <w:pPr>
        <w:pStyle w:val="ListParagraph"/>
        <w:numPr>
          <w:ilvl w:val="0"/>
          <w:numId w:val="2"/>
        </w:numPr>
        <w:spacing w:line="245" w:lineRule="auto"/>
        <w:rPr>
          <w:rFonts w:ascii="Arial" w:hAnsi="Arial" w:cs="Arial"/>
        </w:rPr>
      </w:pPr>
      <w:r w:rsidRPr="0014077B">
        <w:rPr>
          <w:rFonts w:ascii="Arial" w:hAnsi="Arial" w:cs="Arial"/>
          <w:lang w:val="es-US"/>
        </w:rPr>
        <w:t>Estadio I: se observan nódulos y abscesos individuales (también llamados forúnculos) que aparecen y desaparecen en zonas frecuentes como las axilas, la ingle, las mamas y los glúteos. En general, no quedan muchas cicatrices.</w:t>
      </w:r>
    </w:p>
    <w:p w14:paraId="4BBB5268" w14:textId="77777777" w:rsidR="00433FC3" w:rsidRPr="0014077B" w:rsidRDefault="00433FC3" w:rsidP="00A14735">
      <w:pPr>
        <w:pStyle w:val="ListParagraph"/>
        <w:numPr>
          <w:ilvl w:val="0"/>
          <w:numId w:val="2"/>
        </w:numPr>
        <w:spacing w:line="245" w:lineRule="auto"/>
        <w:rPr>
          <w:rFonts w:ascii="Arial" w:hAnsi="Arial" w:cs="Arial"/>
          <w:lang w:val="es-AR"/>
        </w:rPr>
      </w:pPr>
      <w:r w:rsidRPr="0014077B">
        <w:rPr>
          <w:rFonts w:ascii="Arial" w:hAnsi="Arial" w:cs="Arial"/>
          <w:lang w:val="es-US"/>
        </w:rPr>
        <w:lastRenderedPageBreak/>
        <w:t xml:space="preserve">Estadio II: en algunas zonas del cuerpo, se observan varios abscesos que reaparecen una y otra vez. También hay túneles/fístulas y cicatrices. Todavía queda algo de piel sana en las zonas afectadas. </w:t>
      </w:r>
    </w:p>
    <w:p w14:paraId="6C55362C" w14:textId="77777777" w:rsidR="00433FC3" w:rsidRPr="0014077B" w:rsidRDefault="00433FC3" w:rsidP="00A14735">
      <w:pPr>
        <w:pStyle w:val="ListParagraph"/>
        <w:numPr>
          <w:ilvl w:val="0"/>
          <w:numId w:val="2"/>
        </w:numPr>
        <w:spacing w:line="245" w:lineRule="auto"/>
        <w:rPr>
          <w:rFonts w:ascii="Arial" w:hAnsi="Arial" w:cs="Arial"/>
          <w:lang w:val="es-AR"/>
        </w:rPr>
      </w:pPr>
      <w:r w:rsidRPr="0014077B">
        <w:rPr>
          <w:rFonts w:ascii="Arial" w:hAnsi="Arial" w:cs="Arial"/>
          <w:lang w:val="es-US"/>
        </w:rPr>
        <w:t>Estadio III: se observan zonas enteras del cuerpo con muchos túneles/fístulas que se conectan, como toda la zona de las axilas, toda la ingle, etc.</w:t>
      </w:r>
    </w:p>
    <w:p w14:paraId="1C0C2063" w14:textId="77777777" w:rsidR="00433FC3" w:rsidRPr="0014077B" w:rsidRDefault="00433FC3" w:rsidP="00A14735">
      <w:pPr>
        <w:spacing w:line="245" w:lineRule="auto"/>
        <w:rPr>
          <w:rFonts w:ascii="Arial" w:hAnsi="Arial" w:cs="Arial"/>
          <w:lang w:val="es-AR"/>
        </w:rPr>
      </w:pPr>
      <w:r w:rsidRPr="0014077B">
        <w:rPr>
          <w:rFonts w:ascii="Arial" w:hAnsi="Arial" w:cs="Arial"/>
          <w:lang w:val="es-US"/>
        </w:rPr>
        <w:t>Estos son algunos recursos útiles sobre los estadios de la HS:</w:t>
      </w:r>
    </w:p>
    <w:p w14:paraId="184326BF" w14:textId="77777777" w:rsidR="00433FC3" w:rsidRPr="0014077B" w:rsidRDefault="00000000" w:rsidP="00A14735">
      <w:pPr>
        <w:pStyle w:val="ListParagraph"/>
        <w:numPr>
          <w:ilvl w:val="0"/>
          <w:numId w:val="3"/>
        </w:numPr>
        <w:spacing w:line="245" w:lineRule="auto"/>
        <w:rPr>
          <w:rFonts w:ascii="Arial" w:hAnsi="Arial" w:cs="Arial"/>
          <w:lang w:val="es-AR"/>
        </w:rPr>
      </w:pPr>
      <w:hyperlink r:id="rId8" w:history="1">
        <w:r w:rsidR="00433FC3" w:rsidRPr="0014077B">
          <w:rPr>
            <w:rStyle w:val="Hyperlink"/>
            <w:rFonts w:ascii="Arial" w:hAnsi="Arial" w:cs="Arial"/>
            <w:lang w:val="es-US"/>
          </w:rPr>
          <w:t>https://dermnetnz.org/topics/hidradenitis-suppurativa-severity-assessment</w:t>
        </w:r>
      </w:hyperlink>
    </w:p>
    <w:p w14:paraId="16909F89" w14:textId="23301206" w:rsidR="00433FC3" w:rsidRPr="0014077B" w:rsidRDefault="00000000" w:rsidP="00A14735">
      <w:pPr>
        <w:pStyle w:val="ListParagraph"/>
        <w:numPr>
          <w:ilvl w:val="0"/>
          <w:numId w:val="3"/>
        </w:numPr>
        <w:spacing w:line="245" w:lineRule="auto"/>
        <w:rPr>
          <w:rFonts w:ascii="Arial" w:hAnsi="Arial" w:cs="Arial"/>
          <w:lang w:val="es-AR"/>
        </w:rPr>
      </w:pPr>
      <w:hyperlink r:id="rId9" w:history="1">
        <w:r w:rsidR="00433FC3" w:rsidRPr="0014077B">
          <w:rPr>
            <w:rStyle w:val="Hyperlink"/>
            <w:rFonts w:ascii="Arial" w:hAnsi="Arial" w:cs="Arial"/>
            <w:lang w:val="es-US"/>
          </w:rPr>
          <w:t>https://www.hs-foundation.org/hs-symptoms</w:t>
        </w:r>
      </w:hyperlink>
      <w:r w:rsidR="00433FC3" w:rsidRPr="0014077B">
        <w:rPr>
          <w:rFonts w:ascii="Arial" w:hAnsi="Arial" w:cs="Arial"/>
          <w:lang w:val="es-US"/>
        </w:rPr>
        <w:t xml:space="preserve"> (las fotos de casos leves, moderados y severos son buenos ejemplos del estadio I, el estadio II y el estadio III)</w:t>
      </w:r>
    </w:p>
    <w:p w14:paraId="45450B82" w14:textId="77777777" w:rsidR="00433FC3" w:rsidRPr="0014077B" w:rsidRDefault="00433FC3" w:rsidP="00A14735">
      <w:pPr>
        <w:spacing w:after="120" w:line="245" w:lineRule="auto"/>
        <w:rPr>
          <w:rFonts w:ascii="Arial" w:hAnsi="Arial" w:cs="Arial"/>
          <w:b/>
          <w:bCs/>
          <w:color w:val="7030A0"/>
          <w:lang w:val="es-AR"/>
        </w:rPr>
      </w:pPr>
      <w:r w:rsidRPr="0014077B">
        <w:rPr>
          <w:rFonts w:ascii="Arial" w:hAnsi="Arial" w:cs="Arial"/>
          <w:b/>
          <w:bCs/>
          <w:color w:val="7030A0"/>
          <w:lang w:val="es-US"/>
        </w:rPr>
        <w:t>¿A qué edad (es decir, qué tan joven) se puede empezar a padecer esta enfermedad?</w:t>
      </w:r>
    </w:p>
    <w:p w14:paraId="04D751AC" w14:textId="77777777" w:rsidR="00433FC3" w:rsidRPr="0014077B" w:rsidRDefault="00433FC3" w:rsidP="00A14735">
      <w:pPr>
        <w:spacing w:line="245" w:lineRule="auto"/>
        <w:rPr>
          <w:rFonts w:ascii="Arial" w:hAnsi="Arial" w:cs="Arial"/>
          <w:lang w:val="es-AR"/>
        </w:rPr>
      </w:pPr>
      <w:r w:rsidRPr="0014077B">
        <w:rPr>
          <w:rFonts w:ascii="Arial" w:hAnsi="Arial" w:cs="Arial"/>
          <w:lang w:val="es-US"/>
        </w:rPr>
        <w:t xml:space="preserve">Por lo general, se cree que la edad promedio de aparición de la </w:t>
      </w:r>
      <w:proofErr w:type="spellStart"/>
      <w:r w:rsidRPr="0014077B">
        <w:rPr>
          <w:rFonts w:ascii="Arial" w:hAnsi="Arial" w:cs="Arial"/>
          <w:lang w:val="es-US"/>
        </w:rPr>
        <w:t>hidradenitis</w:t>
      </w:r>
      <w:proofErr w:type="spellEnd"/>
      <w:r w:rsidRPr="0014077B">
        <w:rPr>
          <w:rFonts w:ascii="Arial" w:hAnsi="Arial" w:cs="Arial"/>
          <w:lang w:val="es-US"/>
        </w:rPr>
        <w:t xml:space="preserve"> supurativa es a los 23 años, pero hasta el 50% de los pacientes muestran síntomas entre los 10 y los 21 años. En las mujeres, los síntomas suelen aparecer a una edad más temprana, en comparación con los hombres. La aparición de los síntomas puede coincidir con cambios hormonales en la pubertad, particularmente, en mujeres jóvenes; sin embargo, puede ocurrir a cualquier edad, incluido durante la </w:t>
      </w:r>
      <w:proofErr w:type="spellStart"/>
      <w:r w:rsidRPr="0014077B">
        <w:rPr>
          <w:rFonts w:ascii="Arial" w:hAnsi="Arial" w:cs="Arial"/>
          <w:lang w:val="es-US"/>
        </w:rPr>
        <w:t>prepubertad</w:t>
      </w:r>
      <w:proofErr w:type="spellEnd"/>
      <w:r w:rsidRPr="0014077B">
        <w:rPr>
          <w:rFonts w:ascii="Arial" w:hAnsi="Arial" w:cs="Arial"/>
          <w:lang w:val="es-US"/>
        </w:rPr>
        <w:t xml:space="preserve"> o incluso la perimenopausia. </w:t>
      </w:r>
    </w:p>
    <w:p w14:paraId="5364E5FC" w14:textId="3B2A2922" w:rsidR="00433FC3" w:rsidRPr="0014077B" w:rsidRDefault="00433FC3" w:rsidP="00A14735">
      <w:pPr>
        <w:tabs>
          <w:tab w:val="left" w:pos="720"/>
        </w:tabs>
        <w:spacing w:after="120" w:line="245" w:lineRule="auto"/>
        <w:rPr>
          <w:rFonts w:ascii="Arial" w:hAnsi="Arial" w:cs="Arial"/>
          <w:b/>
          <w:bCs/>
          <w:color w:val="7030A0"/>
          <w:lang w:val="es-AR"/>
        </w:rPr>
      </w:pPr>
      <w:r w:rsidRPr="0014077B">
        <w:rPr>
          <w:rFonts w:ascii="Arial" w:hAnsi="Arial" w:cs="Arial"/>
          <w:b/>
          <w:bCs/>
          <w:color w:val="7030A0"/>
          <w:lang w:val="es-US"/>
        </w:rPr>
        <w:t>Me dijeron que, una vez que las mujeres tienen la menopausia, los síntomas de la HS disminuyen o entran en remisión. ¿Esta información es precisa?</w:t>
      </w:r>
    </w:p>
    <w:p w14:paraId="60D7DEB8" w14:textId="6D92C0D3" w:rsidR="00433FC3" w:rsidRPr="0014077B" w:rsidRDefault="00433FC3" w:rsidP="00A14735">
      <w:pPr>
        <w:spacing w:line="245" w:lineRule="auto"/>
        <w:rPr>
          <w:rFonts w:ascii="Arial" w:hAnsi="Arial" w:cs="Arial"/>
          <w:lang w:val="es-AR"/>
        </w:rPr>
      </w:pPr>
      <w:r w:rsidRPr="0014077B">
        <w:rPr>
          <w:rFonts w:ascii="Arial" w:hAnsi="Arial" w:cs="Arial"/>
          <w:lang w:val="es-US"/>
        </w:rPr>
        <w:t>Actualmente, la conexión entre la menopausia y la HS está poco estudiada. En una encuesta a pacientes de 2020 (</w:t>
      </w:r>
      <w:hyperlink r:id="rId10" w:history="1">
        <w:r w:rsidRPr="0014077B">
          <w:rPr>
            <w:rStyle w:val="Hyperlink"/>
            <w:rFonts w:ascii="Arial" w:hAnsi="Arial" w:cs="Arial"/>
            <w:lang w:val="es-US"/>
          </w:rPr>
          <w:t xml:space="preserve">Fernández </w:t>
        </w:r>
        <w:r w:rsidRPr="0014077B">
          <w:rPr>
            <w:rStyle w:val="Hyperlink"/>
            <w:rFonts w:ascii="Arial" w:hAnsi="Arial" w:cs="Arial"/>
            <w:i/>
            <w:iCs/>
            <w:lang w:val="es-US"/>
          </w:rPr>
          <w:t>et al.</w:t>
        </w:r>
        <w:r w:rsidRPr="0014077B">
          <w:rPr>
            <w:rStyle w:val="Hyperlink"/>
            <w:rFonts w:ascii="Arial" w:hAnsi="Arial" w:cs="Arial"/>
            <w:lang w:val="es-US"/>
          </w:rPr>
          <w:t xml:space="preserve"> Menses, </w:t>
        </w:r>
        <w:proofErr w:type="spellStart"/>
        <w:r w:rsidRPr="0014077B">
          <w:rPr>
            <w:rStyle w:val="Hyperlink"/>
            <w:rFonts w:ascii="Arial" w:hAnsi="Arial" w:cs="Arial"/>
            <w:lang w:val="es-US"/>
          </w:rPr>
          <w:t>pregnancy</w:t>
        </w:r>
        <w:proofErr w:type="spellEnd"/>
        <w:r w:rsidRPr="0014077B">
          <w:rPr>
            <w:rStyle w:val="Hyperlink"/>
            <w:rFonts w:ascii="Arial" w:hAnsi="Arial" w:cs="Arial"/>
            <w:lang w:val="es-US"/>
          </w:rPr>
          <w:t xml:space="preserve">, </w:t>
        </w:r>
        <w:proofErr w:type="spellStart"/>
        <w:r w:rsidRPr="0014077B">
          <w:rPr>
            <w:rStyle w:val="Hyperlink"/>
            <w:rFonts w:ascii="Arial" w:hAnsi="Arial" w:cs="Arial"/>
            <w:lang w:val="es-US"/>
          </w:rPr>
          <w:t>delivery</w:t>
        </w:r>
        <w:proofErr w:type="spellEnd"/>
        <w:r w:rsidRPr="0014077B">
          <w:rPr>
            <w:rStyle w:val="Hyperlink"/>
            <w:rFonts w:ascii="Arial" w:hAnsi="Arial" w:cs="Arial"/>
            <w:lang w:val="es-US"/>
          </w:rPr>
          <w:t xml:space="preserve">, and </w:t>
        </w:r>
        <w:proofErr w:type="spellStart"/>
        <w:r w:rsidRPr="0014077B">
          <w:rPr>
            <w:rStyle w:val="Hyperlink"/>
            <w:rFonts w:ascii="Arial" w:hAnsi="Arial" w:cs="Arial"/>
            <w:lang w:val="es-US"/>
          </w:rPr>
          <w:t>menopause</w:t>
        </w:r>
        <w:proofErr w:type="spellEnd"/>
        <w:r w:rsidRPr="0014077B">
          <w:rPr>
            <w:rStyle w:val="Hyperlink"/>
            <w:rFonts w:ascii="Arial" w:hAnsi="Arial" w:cs="Arial"/>
            <w:lang w:val="es-US"/>
          </w:rPr>
          <w:t xml:space="preserve"> in </w:t>
        </w:r>
        <w:proofErr w:type="spellStart"/>
        <w:r w:rsidRPr="0014077B">
          <w:rPr>
            <w:rStyle w:val="Hyperlink"/>
            <w:rFonts w:ascii="Arial" w:hAnsi="Arial" w:cs="Arial"/>
            <w:lang w:val="es-US"/>
          </w:rPr>
          <w:t>hidradenitis</w:t>
        </w:r>
        <w:proofErr w:type="spellEnd"/>
        <w:r w:rsidRPr="0014077B">
          <w:rPr>
            <w:rStyle w:val="Hyperlink"/>
            <w:rFonts w:ascii="Arial" w:hAnsi="Arial" w:cs="Arial"/>
            <w:lang w:val="es-US"/>
          </w:rPr>
          <w:t xml:space="preserve"> </w:t>
        </w:r>
        <w:proofErr w:type="spellStart"/>
        <w:r w:rsidRPr="0014077B">
          <w:rPr>
            <w:rStyle w:val="Hyperlink"/>
            <w:rFonts w:ascii="Arial" w:hAnsi="Arial" w:cs="Arial"/>
            <w:lang w:val="es-US"/>
          </w:rPr>
          <w:t>suppurativa</w:t>
        </w:r>
        <w:proofErr w:type="spellEnd"/>
        <w:r w:rsidRPr="0014077B">
          <w:rPr>
            <w:rStyle w:val="Hyperlink"/>
            <w:rFonts w:ascii="Arial" w:hAnsi="Arial" w:cs="Arial"/>
            <w:lang w:val="es-US"/>
          </w:rPr>
          <w:t xml:space="preserve">: A </w:t>
        </w:r>
        <w:proofErr w:type="spellStart"/>
        <w:r w:rsidRPr="0014077B">
          <w:rPr>
            <w:rStyle w:val="Hyperlink"/>
            <w:rFonts w:ascii="Arial" w:hAnsi="Arial" w:cs="Arial"/>
            <w:lang w:val="es-US"/>
          </w:rPr>
          <w:t>patient</w:t>
        </w:r>
        <w:proofErr w:type="spellEnd"/>
        <w:r w:rsidRPr="0014077B">
          <w:rPr>
            <w:rStyle w:val="Hyperlink"/>
            <w:rFonts w:ascii="Arial" w:hAnsi="Arial" w:cs="Arial"/>
            <w:lang w:val="es-US"/>
          </w:rPr>
          <w:t xml:space="preserve"> </w:t>
        </w:r>
        <w:proofErr w:type="spellStart"/>
        <w:r w:rsidRPr="0014077B">
          <w:rPr>
            <w:rStyle w:val="Hyperlink"/>
            <w:rFonts w:ascii="Arial" w:hAnsi="Arial" w:cs="Arial"/>
            <w:lang w:val="es-US"/>
          </w:rPr>
          <w:t>survey</w:t>
        </w:r>
        <w:proofErr w:type="spellEnd"/>
      </w:hyperlink>
      <w:r w:rsidRPr="0014077B">
        <w:rPr>
          <w:rFonts w:ascii="Arial" w:hAnsi="Arial" w:cs="Arial"/>
          <w:lang w:val="es-US"/>
        </w:rPr>
        <w:t>), se descubrió que, de 279 mujeres encuestadas, solo el 16.3% informó una mejoría de los síntomas, mientras que el 39.5% informó un empeoramiento de los síntomas con la menopausia. Es probable que los cambios que algunas pacientes presentan durante la menopausia se deban a cambios hormonales.</w:t>
      </w:r>
      <w:r w:rsidRPr="0014077B">
        <w:rPr>
          <w:rFonts w:ascii="Arial" w:hAnsi="Arial" w:cs="Arial"/>
          <w:noProof/>
          <w:lang w:val="es-US"/>
        </w:rPr>
        <w:t xml:space="preserve"> </w:t>
      </w:r>
    </w:p>
    <w:p w14:paraId="54882171" w14:textId="77777777" w:rsidR="00433FC3" w:rsidRPr="0014077B" w:rsidRDefault="00433FC3" w:rsidP="00A14735">
      <w:pPr>
        <w:tabs>
          <w:tab w:val="left" w:pos="720"/>
        </w:tabs>
        <w:spacing w:after="120" w:line="245" w:lineRule="auto"/>
        <w:rPr>
          <w:rFonts w:ascii="Arial" w:hAnsi="Arial" w:cs="Arial"/>
          <w:b/>
          <w:bCs/>
          <w:color w:val="7030A0"/>
          <w:lang w:val="es-AR"/>
        </w:rPr>
      </w:pPr>
      <w:r w:rsidRPr="0014077B">
        <w:rPr>
          <w:rFonts w:ascii="Arial" w:hAnsi="Arial" w:cs="Arial"/>
          <w:b/>
          <w:bCs/>
          <w:color w:val="7030A0"/>
          <w:lang w:val="es-US"/>
        </w:rPr>
        <w:t xml:space="preserve">La HS se desencadenó durante el segundo trimestre de embarazo. ¿Hay alguna posibilidad de que la HS se resuelva después del parto? ¿La lactancia materna desencadena la HS? </w:t>
      </w:r>
    </w:p>
    <w:p w14:paraId="0577DBC6" w14:textId="77777777" w:rsidR="00433FC3" w:rsidRPr="0014077B" w:rsidRDefault="00433FC3" w:rsidP="00A14735">
      <w:pPr>
        <w:spacing w:line="245" w:lineRule="auto"/>
        <w:rPr>
          <w:rFonts w:ascii="Arial" w:hAnsi="Arial" w:cs="Arial"/>
          <w:lang w:val="es-AR"/>
        </w:rPr>
      </w:pPr>
      <w:r w:rsidRPr="0014077B">
        <w:rPr>
          <w:rFonts w:ascii="Arial" w:hAnsi="Arial" w:cs="Arial"/>
          <w:lang w:val="es-US"/>
        </w:rPr>
        <w:t xml:space="preserve">Durante el embarazo, se producen cambios en los niveles hormonales y en las vías pro- y antiinflamatorias, lo que dificulta predecir cambios en la enfermedad después del parto. Actualmente, la investigación sobre cómo cambia la HS durante el embarazo y la lactancia es limitada. El aumento de peso asociado con el embarazo puede incrementar la fricción, lo que se asocia con un empeoramiento de la HS. Si bien la lactancia materna no está contraindicada en pacientes con HS, si hay lesiones abiertas en la mama, las pacientes pueden sufrir dolor o un empeoramiento de las lesiones de HS al amamantar. Las lesiones activas pueden causar problemas con la lactancia y la formación de fístulas de leche. Por otro lado, debido a la disminución de la función inmunitaria de la madre para proteger al feto, los síntomas de la HS podrían mejorar. La función inmunitaria del cuerpo de la madre se reduce durante este tiempo para evitar el rechazo del feto, ya que podría identificarse como material extraño debido a la composición genética del padre. </w:t>
      </w:r>
    </w:p>
    <w:p w14:paraId="6236E7BC" w14:textId="77777777" w:rsidR="00433FC3" w:rsidRPr="0014077B" w:rsidRDefault="00433FC3" w:rsidP="00A14735">
      <w:pPr>
        <w:tabs>
          <w:tab w:val="left" w:pos="720"/>
        </w:tabs>
        <w:spacing w:after="120" w:line="245" w:lineRule="auto"/>
        <w:rPr>
          <w:rFonts w:ascii="Arial" w:hAnsi="Arial" w:cs="Arial"/>
          <w:b/>
          <w:bCs/>
          <w:color w:val="7030A0"/>
          <w:lang w:val="es-AR"/>
        </w:rPr>
      </w:pPr>
      <w:r w:rsidRPr="0014077B">
        <w:rPr>
          <w:rFonts w:ascii="Arial" w:hAnsi="Arial" w:cs="Arial"/>
          <w:b/>
          <w:bCs/>
          <w:color w:val="7030A0"/>
          <w:lang w:val="es-US"/>
        </w:rPr>
        <w:t>¿Se sabe si la genética desempeña una función en la HS?</w:t>
      </w:r>
    </w:p>
    <w:p w14:paraId="6F6508F6" w14:textId="77777777" w:rsidR="00433FC3" w:rsidRPr="0014077B" w:rsidRDefault="00433FC3" w:rsidP="00A14735">
      <w:pPr>
        <w:spacing w:line="245" w:lineRule="auto"/>
        <w:rPr>
          <w:rFonts w:ascii="Arial" w:hAnsi="Arial" w:cs="Arial"/>
          <w:lang w:val="es-AR"/>
        </w:rPr>
      </w:pPr>
      <w:r w:rsidRPr="0014077B">
        <w:rPr>
          <w:rFonts w:ascii="Arial" w:hAnsi="Arial" w:cs="Arial"/>
          <w:lang w:val="es-US"/>
        </w:rPr>
        <w:t>La genética es un factor importante en muchas personas. Alrededor de 3 o 4 de cada 10 personas con HS tienen familiares con la misma enfermedad. Se están realizando investigaciones para saber más sobre por qué ocurre esto.</w:t>
      </w:r>
    </w:p>
    <w:p w14:paraId="1215B444" w14:textId="0804A3DB" w:rsidR="00433FC3" w:rsidRPr="0014077B" w:rsidRDefault="00433FC3" w:rsidP="00A14735">
      <w:pPr>
        <w:spacing w:line="245" w:lineRule="auto"/>
        <w:rPr>
          <w:rFonts w:ascii="Arial" w:hAnsi="Arial" w:cs="Arial"/>
          <w:lang w:val="es-AR"/>
        </w:rPr>
      </w:pPr>
      <w:r w:rsidRPr="0014077B">
        <w:rPr>
          <w:rFonts w:ascii="Arial" w:hAnsi="Arial" w:cs="Arial"/>
          <w:lang w:val="es-US"/>
        </w:rPr>
        <w:lastRenderedPageBreak/>
        <w:t xml:space="preserve">Para obtener más información, puede consultar el artículo sobre el tema que se publicó en </w:t>
      </w:r>
      <w:hyperlink r:id="rId11" w:history="1">
        <w:r w:rsidRPr="0014077B">
          <w:rPr>
            <w:rStyle w:val="Hyperlink"/>
            <w:rFonts w:ascii="Arial" w:hAnsi="Arial" w:cs="Arial"/>
            <w:lang w:val="es-US"/>
          </w:rPr>
          <w:t>la</w:t>
        </w:r>
        <w:r w:rsidR="00A14735" w:rsidRPr="0014077B">
          <w:rPr>
            <w:rStyle w:val="Hyperlink"/>
            <w:rFonts w:ascii="Arial" w:hAnsi="Arial" w:cs="Arial"/>
            <w:lang w:val="es-US"/>
          </w:rPr>
          <w:t> </w:t>
        </w:r>
        <w:r w:rsidRPr="0014077B">
          <w:rPr>
            <w:rStyle w:val="Hyperlink"/>
            <w:rFonts w:ascii="Arial" w:hAnsi="Arial" w:cs="Arial"/>
            <w:lang w:val="es-US"/>
          </w:rPr>
          <w:t>revista de la Academia Estadounidense de Dermatología en 2020</w:t>
        </w:r>
      </w:hyperlink>
      <w:r w:rsidRPr="0014077B">
        <w:rPr>
          <w:rFonts w:ascii="Arial" w:hAnsi="Arial" w:cs="Arial"/>
          <w:lang w:val="es-US"/>
        </w:rPr>
        <w:t>.</w:t>
      </w:r>
    </w:p>
    <w:p w14:paraId="65B14195" w14:textId="77777777" w:rsidR="00433FC3" w:rsidRPr="0014077B" w:rsidRDefault="00433FC3" w:rsidP="00A14735">
      <w:pPr>
        <w:spacing w:line="245" w:lineRule="auto"/>
        <w:rPr>
          <w:rFonts w:ascii="Arial" w:hAnsi="Arial" w:cs="Arial"/>
          <w:color w:val="FF0000"/>
          <w:lang w:val="es-AR"/>
        </w:rPr>
      </w:pPr>
      <w:r w:rsidRPr="0014077B">
        <w:rPr>
          <w:rFonts w:ascii="Arial" w:hAnsi="Arial" w:cs="Arial"/>
          <w:i/>
          <w:iCs/>
        </w:rPr>
        <w:t xml:space="preserve">Samantha R. Goldburg, BA; Bruce E. Strober, MD, PhD; Michael J. Payette, MD, MBA. Hidradenitis suppurativa: Epidemiology, clinical presentation, and pathogenesis. Journal of the American Academy of Dermatology. </w:t>
      </w:r>
      <w:r w:rsidRPr="0014077B">
        <w:rPr>
          <w:rFonts w:ascii="Arial" w:hAnsi="Arial" w:cs="Arial"/>
          <w:i/>
          <w:iCs/>
          <w:lang w:val="es-US"/>
        </w:rPr>
        <w:t>82(5) mayo de</w:t>
      </w:r>
      <w:r w:rsidRPr="0014077B">
        <w:rPr>
          <w:rFonts w:ascii="Arial" w:hAnsi="Arial" w:cs="Arial"/>
          <w:lang w:val="es-US"/>
        </w:rPr>
        <w:t> </w:t>
      </w:r>
      <w:r w:rsidRPr="0014077B">
        <w:rPr>
          <w:rFonts w:ascii="Arial" w:hAnsi="Arial" w:cs="Arial"/>
          <w:i/>
          <w:iCs/>
          <w:lang w:val="es-US"/>
        </w:rPr>
        <w:t xml:space="preserve">2020. 1045-1058. </w:t>
      </w:r>
    </w:p>
    <w:p w14:paraId="5C2DE9C3" w14:textId="03E52211" w:rsidR="00433FC3" w:rsidRPr="0014077B" w:rsidRDefault="00433FC3" w:rsidP="00A14735">
      <w:pPr>
        <w:tabs>
          <w:tab w:val="left" w:pos="720"/>
        </w:tabs>
        <w:spacing w:after="120" w:line="245" w:lineRule="auto"/>
        <w:rPr>
          <w:rFonts w:ascii="Arial" w:hAnsi="Arial" w:cs="Arial"/>
          <w:b/>
          <w:bCs/>
          <w:color w:val="7030A0"/>
          <w:lang w:val="es-AR"/>
        </w:rPr>
      </w:pPr>
      <w:r w:rsidRPr="0014077B">
        <w:rPr>
          <w:rFonts w:ascii="Arial" w:hAnsi="Arial" w:cs="Arial"/>
          <w:b/>
          <w:bCs/>
          <w:color w:val="7030A0"/>
          <w:lang w:val="es-US"/>
        </w:rPr>
        <w:t>Escuché hablar sobre la dermatología “compleja”.</w:t>
      </w:r>
      <w:r w:rsidR="00A14735" w:rsidRPr="0014077B">
        <w:rPr>
          <w:rFonts w:ascii="Arial" w:hAnsi="Arial" w:cs="Arial"/>
          <w:b/>
          <w:bCs/>
          <w:color w:val="7030A0"/>
          <w:lang w:val="es-US"/>
        </w:rPr>
        <w:t xml:space="preserve"> </w:t>
      </w:r>
      <w:r w:rsidRPr="0014077B">
        <w:rPr>
          <w:rFonts w:ascii="Arial" w:hAnsi="Arial" w:cs="Arial"/>
          <w:b/>
          <w:bCs/>
          <w:color w:val="7030A0"/>
          <w:lang w:val="es-US"/>
        </w:rPr>
        <w:t>¿Hay dermatólogos especializados</w:t>
      </w:r>
      <w:r w:rsidR="00A14735" w:rsidRPr="0014077B">
        <w:rPr>
          <w:rFonts w:ascii="Arial" w:hAnsi="Arial" w:cs="Arial"/>
          <w:b/>
          <w:bCs/>
          <w:color w:val="7030A0"/>
          <w:lang w:val="es-US"/>
        </w:rPr>
        <w:t> </w:t>
      </w:r>
      <w:r w:rsidRPr="0014077B">
        <w:rPr>
          <w:rFonts w:ascii="Arial" w:hAnsi="Arial" w:cs="Arial"/>
          <w:b/>
          <w:bCs/>
          <w:color w:val="7030A0"/>
          <w:lang w:val="es-US"/>
        </w:rPr>
        <w:t>en</w:t>
      </w:r>
      <w:r w:rsidR="00A14735" w:rsidRPr="0014077B">
        <w:rPr>
          <w:rFonts w:ascii="Arial" w:hAnsi="Arial" w:cs="Arial"/>
          <w:b/>
          <w:bCs/>
          <w:color w:val="7030A0"/>
          <w:lang w:val="es-US"/>
        </w:rPr>
        <w:t> </w:t>
      </w:r>
      <w:r w:rsidRPr="0014077B">
        <w:rPr>
          <w:rFonts w:ascii="Arial" w:hAnsi="Arial" w:cs="Arial"/>
          <w:b/>
          <w:bCs/>
          <w:color w:val="7030A0"/>
          <w:lang w:val="es-US"/>
        </w:rPr>
        <w:t>HS?</w:t>
      </w:r>
    </w:p>
    <w:p w14:paraId="686DC89C" w14:textId="77777777" w:rsidR="00433FC3" w:rsidRPr="0014077B" w:rsidRDefault="00433FC3" w:rsidP="00A14735">
      <w:pPr>
        <w:spacing w:after="0" w:line="245" w:lineRule="auto"/>
        <w:rPr>
          <w:rFonts w:ascii="Arial" w:hAnsi="Arial" w:cs="Arial"/>
          <w:lang w:val="es-AR"/>
        </w:rPr>
      </w:pPr>
      <w:r w:rsidRPr="0014077B">
        <w:rPr>
          <w:rFonts w:ascii="Arial" w:hAnsi="Arial" w:cs="Arial"/>
          <w:lang w:val="es-US"/>
        </w:rPr>
        <w:t>Hay dermatólogos especializados en HS. Suelen ser dermatólogos que atienden a muchos pacientes con HS, y a pacientes con cuadros de HS más severos o complicados. Muchos de ellos investigan la HS para ayudarnos a comprender y tratar mejor esta enfermedad. No todas las ciudades o estados cuentan con especialistas en HS. Si bien todos los dermatólogos pueden tratar la HS, se recomienda que las personas con cuadros severos de HS o que no mejoran tras probar diferentes tratamientos/medicamentos consulten a un especialista o dermatólogo que atienda a una mayor cantidad de pacientes con HS. En algunos lugares, otros especialistas, como cirujanos o reumatólogos, también contribuyen al tratamiento de la HS.</w:t>
      </w:r>
    </w:p>
    <w:p w14:paraId="66B05B45" w14:textId="7BFC8E93" w:rsidR="00E54DB5" w:rsidRPr="0014077B" w:rsidRDefault="00E54DB5" w:rsidP="00A14735">
      <w:pPr>
        <w:tabs>
          <w:tab w:val="left" w:pos="720"/>
        </w:tabs>
        <w:spacing w:after="0" w:line="245" w:lineRule="auto"/>
        <w:rPr>
          <w:rFonts w:ascii="Arial" w:hAnsi="Arial" w:cs="Arial"/>
          <w:b/>
          <w:bCs/>
          <w:color w:val="7030A0"/>
          <w:lang w:val="es-AR"/>
        </w:rPr>
      </w:pPr>
    </w:p>
    <w:p w14:paraId="56B602A7" w14:textId="7C862FA4" w:rsidR="00433FC3" w:rsidRPr="0014077B" w:rsidRDefault="00433FC3" w:rsidP="00A14735">
      <w:pPr>
        <w:tabs>
          <w:tab w:val="left" w:pos="720"/>
        </w:tabs>
        <w:spacing w:line="245" w:lineRule="auto"/>
        <w:rPr>
          <w:rFonts w:ascii="Arial" w:hAnsi="Arial" w:cs="Arial"/>
          <w:b/>
          <w:bCs/>
          <w:color w:val="7030A0"/>
          <w:lang w:val="es-AR"/>
        </w:rPr>
      </w:pPr>
      <w:r w:rsidRPr="0014077B">
        <w:rPr>
          <w:rFonts w:ascii="Arial" w:hAnsi="Arial" w:cs="Arial"/>
          <w:b/>
          <w:bCs/>
          <w:color w:val="7030A0"/>
          <w:lang w:val="es-US"/>
        </w:rPr>
        <w:t xml:space="preserve">¿Hay información nueva sobre los factores que desencadenan los brotes de HS? </w:t>
      </w:r>
    </w:p>
    <w:p w14:paraId="1F90B5C8" w14:textId="0C7956E2" w:rsidR="00433FC3" w:rsidRPr="0014077B" w:rsidRDefault="00433FC3" w:rsidP="00A14735">
      <w:pPr>
        <w:spacing w:line="245" w:lineRule="auto"/>
        <w:rPr>
          <w:rFonts w:ascii="Arial" w:hAnsi="Arial" w:cs="Arial"/>
          <w:lang w:val="es-AR"/>
        </w:rPr>
      </w:pPr>
      <w:r w:rsidRPr="0014077B">
        <w:rPr>
          <w:rFonts w:ascii="Arial" w:hAnsi="Arial" w:cs="Arial"/>
          <w:lang w:val="es-US"/>
        </w:rPr>
        <w:t>En un estudio de 2021, se preguntó a los pacientes acerca de cuáles eran sus propios desencadenantes. Los desencadenantes que las personas informaron con mayor frecuencia fueron el estrés, el consumo de alimentos azucarados/ricos en carbohidratos, el ejercicio, el aumento de peso, el tabaquismo y los cambios hormonales/ciclo menstrual (períodos). Como ocurre con muchas afecciones, no todas las personas tienen los mismos desencadenantes. La</w:t>
      </w:r>
      <w:r w:rsidR="00A14735" w:rsidRPr="0014077B">
        <w:rPr>
          <w:rFonts w:ascii="Arial" w:hAnsi="Arial" w:cs="Arial"/>
          <w:lang w:val="es-US"/>
        </w:rPr>
        <w:t> </w:t>
      </w:r>
      <w:r w:rsidRPr="0014077B">
        <w:rPr>
          <w:rFonts w:ascii="Arial" w:hAnsi="Arial" w:cs="Arial"/>
          <w:lang w:val="es-US"/>
        </w:rPr>
        <w:t xml:space="preserve">ropa ajustada o la fricción parecen empeorar el dolor en algunas personas. </w:t>
      </w:r>
    </w:p>
    <w:p w14:paraId="0D9A8FD4" w14:textId="6C3F8A7D" w:rsidR="00433FC3" w:rsidRPr="0014077B" w:rsidRDefault="00433FC3" w:rsidP="00A14735">
      <w:pPr>
        <w:spacing w:line="245" w:lineRule="auto"/>
        <w:rPr>
          <w:rFonts w:ascii="Arial" w:hAnsi="Arial" w:cs="Arial"/>
          <w:lang w:val="es-AR"/>
        </w:rPr>
      </w:pPr>
      <w:r w:rsidRPr="0014077B">
        <w:rPr>
          <w:rFonts w:ascii="Arial" w:hAnsi="Arial" w:cs="Arial"/>
          <w:lang w:val="es-US"/>
        </w:rPr>
        <w:t xml:space="preserve">Para obtener más información, puede consultar el artículo sobre el tema que se publicó en </w:t>
      </w:r>
      <w:hyperlink r:id="rId12" w:history="1">
        <w:r w:rsidRPr="0014077B">
          <w:rPr>
            <w:rStyle w:val="Hyperlink"/>
            <w:rFonts w:ascii="Arial" w:hAnsi="Arial" w:cs="Arial"/>
            <w:lang w:val="es-US"/>
          </w:rPr>
          <w:t>la</w:t>
        </w:r>
        <w:r w:rsidR="00A14735" w:rsidRPr="0014077B">
          <w:rPr>
            <w:rStyle w:val="Hyperlink"/>
            <w:rFonts w:ascii="Arial" w:hAnsi="Arial" w:cs="Arial"/>
            <w:lang w:val="es-US"/>
          </w:rPr>
          <w:t> </w:t>
        </w:r>
        <w:r w:rsidRPr="0014077B">
          <w:rPr>
            <w:rStyle w:val="Hyperlink"/>
            <w:rFonts w:ascii="Arial" w:hAnsi="Arial" w:cs="Arial"/>
            <w:lang w:val="es-US"/>
          </w:rPr>
          <w:t xml:space="preserve">revista </w:t>
        </w:r>
        <w:r w:rsidRPr="0014077B">
          <w:rPr>
            <w:rStyle w:val="Hyperlink"/>
            <w:rFonts w:ascii="Arial" w:hAnsi="Arial" w:cs="Arial"/>
            <w:i/>
            <w:iCs/>
            <w:lang w:val="es-US"/>
          </w:rPr>
          <w:t xml:space="preserve">British </w:t>
        </w:r>
        <w:proofErr w:type="spellStart"/>
        <w:r w:rsidRPr="0014077B">
          <w:rPr>
            <w:rStyle w:val="Hyperlink"/>
            <w:rFonts w:ascii="Arial" w:hAnsi="Arial" w:cs="Arial"/>
            <w:i/>
            <w:iCs/>
            <w:lang w:val="es-US"/>
          </w:rPr>
          <w:t>Journal</w:t>
        </w:r>
        <w:proofErr w:type="spellEnd"/>
        <w:r w:rsidRPr="0014077B">
          <w:rPr>
            <w:rStyle w:val="Hyperlink"/>
            <w:rFonts w:ascii="Arial" w:hAnsi="Arial" w:cs="Arial"/>
            <w:i/>
            <w:iCs/>
            <w:lang w:val="es-US"/>
          </w:rPr>
          <w:t xml:space="preserve"> </w:t>
        </w:r>
        <w:proofErr w:type="spellStart"/>
        <w:r w:rsidRPr="0014077B">
          <w:rPr>
            <w:rStyle w:val="Hyperlink"/>
            <w:rFonts w:ascii="Arial" w:hAnsi="Arial" w:cs="Arial"/>
            <w:i/>
            <w:iCs/>
            <w:lang w:val="es-US"/>
          </w:rPr>
          <w:t>of</w:t>
        </w:r>
        <w:proofErr w:type="spellEnd"/>
        <w:r w:rsidRPr="0014077B">
          <w:rPr>
            <w:rStyle w:val="Hyperlink"/>
            <w:rFonts w:ascii="Arial" w:hAnsi="Arial" w:cs="Arial"/>
            <w:i/>
            <w:iCs/>
            <w:lang w:val="es-US"/>
          </w:rPr>
          <w:t xml:space="preserve"> </w:t>
        </w:r>
        <w:proofErr w:type="spellStart"/>
        <w:r w:rsidRPr="0014077B">
          <w:rPr>
            <w:rStyle w:val="Hyperlink"/>
            <w:rFonts w:ascii="Arial" w:hAnsi="Arial" w:cs="Arial"/>
            <w:i/>
            <w:iCs/>
            <w:lang w:val="es-US"/>
          </w:rPr>
          <w:t>Dermatology</w:t>
        </w:r>
        <w:proofErr w:type="spellEnd"/>
        <w:r w:rsidRPr="0014077B">
          <w:rPr>
            <w:rStyle w:val="Hyperlink"/>
            <w:rFonts w:ascii="Arial" w:hAnsi="Arial" w:cs="Arial"/>
            <w:lang w:val="es-US"/>
          </w:rPr>
          <w:t xml:space="preserve"> en 2021</w:t>
        </w:r>
      </w:hyperlink>
      <w:r w:rsidRPr="0014077B">
        <w:rPr>
          <w:rFonts w:ascii="Arial" w:hAnsi="Arial" w:cs="Arial"/>
          <w:lang w:val="es-US"/>
        </w:rPr>
        <w:t>.</w:t>
      </w:r>
    </w:p>
    <w:p w14:paraId="57D2EE48" w14:textId="7AF1BFBD" w:rsidR="00433FC3" w:rsidRPr="0014077B" w:rsidRDefault="00433FC3" w:rsidP="00A14735">
      <w:pPr>
        <w:spacing w:line="245" w:lineRule="auto"/>
        <w:rPr>
          <w:rFonts w:ascii="Arial" w:hAnsi="Arial" w:cs="Arial"/>
          <w:i/>
          <w:iCs/>
          <w:lang w:val="es-AR"/>
        </w:rPr>
      </w:pPr>
      <w:r w:rsidRPr="0014077B">
        <w:rPr>
          <w:rFonts w:ascii="Arial" w:hAnsi="Arial" w:cs="Arial"/>
          <w:i/>
          <w:iCs/>
        </w:rPr>
        <w:t xml:space="preserve">Identifying triggers for hidradenitis suppurativa flare: a patient survey. A.M. Thompson, J.M. Fernandez, J. Rick, A.J. Hendricks, M. Maarouf, E.M. Mata, E.K. Collier, T.R. Grogan, J.L. Hsiao, V.Y. Shi. </w:t>
      </w:r>
      <w:r w:rsidRPr="0014077B">
        <w:rPr>
          <w:rFonts w:ascii="Arial" w:hAnsi="Arial" w:cs="Arial"/>
          <w:i/>
          <w:iCs/>
          <w:lang w:val="es-US"/>
        </w:rPr>
        <w:t xml:space="preserve">British </w:t>
      </w:r>
      <w:proofErr w:type="spellStart"/>
      <w:r w:rsidRPr="0014077B">
        <w:rPr>
          <w:rFonts w:ascii="Arial" w:hAnsi="Arial" w:cs="Arial"/>
          <w:i/>
          <w:iCs/>
          <w:lang w:val="es-US"/>
        </w:rPr>
        <w:t>Journal</w:t>
      </w:r>
      <w:proofErr w:type="spellEnd"/>
      <w:r w:rsidRPr="0014077B">
        <w:rPr>
          <w:rFonts w:ascii="Arial" w:hAnsi="Arial" w:cs="Arial"/>
          <w:i/>
          <w:iCs/>
          <w:lang w:val="es-US"/>
        </w:rPr>
        <w:t xml:space="preserve"> </w:t>
      </w:r>
      <w:proofErr w:type="spellStart"/>
      <w:r w:rsidRPr="0014077B">
        <w:rPr>
          <w:rFonts w:ascii="Arial" w:hAnsi="Arial" w:cs="Arial"/>
          <w:i/>
          <w:iCs/>
          <w:lang w:val="es-US"/>
        </w:rPr>
        <w:t>of</w:t>
      </w:r>
      <w:proofErr w:type="spellEnd"/>
      <w:r w:rsidRPr="0014077B">
        <w:rPr>
          <w:rFonts w:ascii="Arial" w:hAnsi="Arial" w:cs="Arial"/>
          <w:i/>
          <w:iCs/>
          <w:lang w:val="es-US"/>
        </w:rPr>
        <w:t xml:space="preserve"> </w:t>
      </w:r>
      <w:proofErr w:type="spellStart"/>
      <w:r w:rsidRPr="0014077B">
        <w:rPr>
          <w:rFonts w:ascii="Arial" w:hAnsi="Arial" w:cs="Arial"/>
          <w:i/>
          <w:iCs/>
          <w:lang w:val="es-US"/>
        </w:rPr>
        <w:t>Dermatology</w:t>
      </w:r>
      <w:proofErr w:type="spellEnd"/>
      <w:r w:rsidRPr="0014077B">
        <w:rPr>
          <w:rFonts w:ascii="Arial" w:hAnsi="Arial" w:cs="Arial"/>
          <w:i/>
          <w:iCs/>
          <w:lang w:val="es-US"/>
        </w:rPr>
        <w:t>, Volumen 185, Edición 1, 1 de julio de 2021, páginas</w:t>
      </w:r>
      <w:r w:rsidRPr="0014077B">
        <w:rPr>
          <w:rFonts w:ascii="Arial" w:hAnsi="Arial" w:cs="Arial"/>
          <w:lang w:val="es-US"/>
        </w:rPr>
        <w:t> </w:t>
      </w:r>
      <w:r w:rsidRPr="0014077B">
        <w:rPr>
          <w:rFonts w:ascii="Arial" w:hAnsi="Arial" w:cs="Arial"/>
          <w:i/>
          <w:iCs/>
          <w:lang w:val="es-US"/>
        </w:rPr>
        <w:t xml:space="preserve">225–226, </w:t>
      </w:r>
      <w:hyperlink r:id="rId13" w:history="1">
        <w:r w:rsidRPr="0014077B">
          <w:rPr>
            <w:rStyle w:val="Hyperlink"/>
            <w:rFonts w:ascii="Arial" w:hAnsi="Arial" w:cs="Arial"/>
            <w:i/>
            <w:iCs/>
            <w:lang w:val="es-US"/>
          </w:rPr>
          <w:t>https://doi.org/10.1111/bjd.19926</w:t>
        </w:r>
      </w:hyperlink>
    </w:p>
    <w:p w14:paraId="0E5DD9F3" w14:textId="2C9128B2" w:rsidR="00433FC3" w:rsidRPr="0014077B" w:rsidRDefault="00433FC3" w:rsidP="00A14735">
      <w:pPr>
        <w:tabs>
          <w:tab w:val="left" w:pos="720"/>
        </w:tabs>
        <w:spacing w:line="245" w:lineRule="auto"/>
        <w:rPr>
          <w:rFonts w:ascii="Arial" w:hAnsi="Arial" w:cs="Arial"/>
          <w:b/>
          <w:bCs/>
          <w:color w:val="7030A0"/>
          <w:lang w:val="es-AR"/>
        </w:rPr>
      </w:pPr>
      <w:r w:rsidRPr="0014077B">
        <w:rPr>
          <w:rFonts w:ascii="Arial" w:hAnsi="Arial" w:cs="Arial"/>
          <w:b/>
          <w:bCs/>
          <w:color w:val="7030A0"/>
          <w:lang w:val="es-US"/>
        </w:rPr>
        <w:t>¿Cuál es la mejor manera de tratar el dolor ocasionado por la HS?</w:t>
      </w:r>
    </w:p>
    <w:p w14:paraId="417EFB25" w14:textId="6BBFA121" w:rsidR="00433FC3" w:rsidRPr="0014077B" w:rsidRDefault="00433FC3" w:rsidP="00A14735">
      <w:pPr>
        <w:spacing w:line="245" w:lineRule="auto"/>
        <w:rPr>
          <w:rFonts w:ascii="Arial" w:hAnsi="Arial" w:cs="Arial"/>
          <w:lang w:val="es-AR"/>
        </w:rPr>
      </w:pPr>
      <w:r w:rsidRPr="0014077B">
        <w:rPr>
          <w:rFonts w:ascii="Arial" w:hAnsi="Arial" w:cs="Arial"/>
          <w:lang w:val="es-US"/>
        </w:rPr>
        <w:t xml:space="preserve">El dolor puede ser una parte importante de la HS y empeorar la calidad de vida de las personas. Hay muchas opciones disponibles para ayudar a tratar el dolor asociado a la HS. Es importante trabajar con los proveedores de atención médica para encontrar el tratamiento o los tratamientos adecuados. Si se logra mejorar la HS con tratamiento, esto puede ayudar a que el dolor se alivie. Para los brotes, inyectar un corticoesteroide en las lesiones, drenar las lesiones, o aplicar compresas frías o calientes puede ayudar a aliviar el dolor. A algunas personas les resulta útil tratar las lesiones localizadas con cremas anestésicas. Los analgésicos de venta libre, como el paracetamol y el ibuprofeno, también pueden ser de ayuda en algunos casos. También hay medicamentos recetados que ayudan con diferentes tipos y desencadenantes del dolor, como gabapentina o </w:t>
      </w:r>
      <w:proofErr w:type="spellStart"/>
      <w:r w:rsidRPr="0014077B">
        <w:rPr>
          <w:rFonts w:ascii="Arial" w:hAnsi="Arial" w:cs="Arial"/>
          <w:lang w:val="es-US"/>
        </w:rPr>
        <w:t>duloxetina</w:t>
      </w:r>
      <w:proofErr w:type="spellEnd"/>
      <w:r w:rsidRPr="0014077B">
        <w:rPr>
          <w:rFonts w:ascii="Arial" w:hAnsi="Arial" w:cs="Arial"/>
          <w:lang w:val="es-US"/>
        </w:rPr>
        <w:t>. En ocasiones, se usan analgésicos opiáceos para aliviar el dolor muy intenso.</w:t>
      </w:r>
    </w:p>
    <w:p w14:paraId="3F75994D" w14:textId="115467E4" w:rsidR="00433FC3" w:rsidRPr="0014077B" w:rsidRDefault="00433FC3" w:rsidP="00A14735">
      <w:pPr>
        <w:keepNext/>
        <w:keepLines/>
        <w:tabs>
          <w:tab w:val="left" w:pos="720"/>
        </w:tabs>
        <w:spacing w:line="245" w:lineRule="auto"/>
        <w:rPr>
          <w:rFonts w:ascii="Arial" w:hAnsi="Arial" w:cs="Arial"/>
          <w:b/>
          <w:bCs/>
          <w:color w:val="7030A0"/>
          <w:lang w:val="es-AR"/>
        </w:rPr>
      </w:pPr>
      <w:r w:rsidRPr="0014077B">
        <w:rPr>
          <w:rFonts w:ascii="Arial" w:hAnsi="Arial" w:cs="Arial"/>
          <w:b/>
          <w:bCs/>
          <w:color w:val="7030A0"/>
          <w:lang w:val="es-US"/>
        </w:rPr>
        <w:lastRenderedPageBreak/>
        <w:t>¿El consumo de azúcar empeora la HS?</w:t>
      </w:r>
    </w:p>
    <w:p w14:paraId="1D86F72A" w14:textId="202383D8" w:rsidR="00433FC3" w:rsidRPr="0014077B" w:rsidRDefault="00433FC3" w:rsidP="00A14735">
      <w:pPr>
        <w:keepNext/>
        <w:keepLines/>
        <w:spacing w:line="245" w:lineRule="auto"/>
        <w:rPr>
          <w:rFonts w:ascii="Arial" w:hAnsi="Arial" w:cs="Arial"/>
          <w:lang w:val="es-AR"/>
        </w:rPr>
      </w:pPr>
      <w:r w:rsidRPr="0014077B">
        <w:rPr>
          <w:rFonts w:ascii="Arial" w:hAnsi="Arial" w:cs="Arial"/>
          <w:lang w:val="es-US"/>
        </w:rPr>
        <w:t xml:space="preserve">Algunos pequeños estudios de investigación han demostrado que comer y beber menos “azúcares simples” puede ayudar a aliviar los síntomas de la HS. Esto se conoce como dieta de bajo índice glucémico. Comer menos azúcares simples y beber menos bebidas azucaradas, como jugos y refrescos, también es bueno para la salud en general. Hable con un proveedor de atención médica antes de realizar cambios en su dieta para asegurarse de que los esté haciendo de manera segura. </w:t>
      </w:r>
    </w:p>
    <w:p w14:paraId="5DC4D814" w14:textId="77777777" w:rsidR="00433FC3" w:rsidRPr="0014077B" w:rsidRDefault="00433FC3" w:rsidP="00A14735">
      <w:pPr>
        <w:spacing w:line="245" w:lineRule="auto"/>
        <w:rPr>
          <w:rFonts w:ascii="Arial" w:hAnsi="Arial" w:cs="Arial"/>
          <w:lang w:val="es-AR"/>
        </w:rPr>
      </w:pPr>
      <w:r w:rsidRPr="0014077B">
        <w:rPr>
          <w:rFonts w:ascii="Arial" w:hAnsi="Arial" w:cs="Arial"/>
          <w:lang w:val="es-US"/>
        </w:rPr>
        <w:t xml:space="preserve">Para obtener más información, puede consultar los artículos sobre el tema que se publicaron en </w:t>
      </w:r>
      <w:hyperlink r:id="rId14" w:history="1">
        <w:r w:rsidRPr="0014077B">
          <w:rPr>
            <w:rStyle w:val="Hyperlink"/>
            <w:rFonts w:ascii="Arial" w:hAnsi="Arial" w:cs="Arial"/>
            <w:lang w:val="es-US"/>
          </w:rPr>
          <w:t xml:space="preserve">la revista </w:t>
        </w:r>
        <w:r w:rsidRPr="0014077B">
          <w:rPr>
            <w:rStyle w:val="Hyperlink"/>
            <w:rFonts w:ascii="Arial" w:hAnsi="Arial" w:cs="Arial"/>
            <w:i/>
            <w:iCs/>
            <w:lang w:val="es-US"/>
          </w:rPr>
          <w:t xml:space="preserve">International </w:t>
        </w:r>
        <w:proofErr w:type="spellStart"/>
        <w:r w:rsidRPr="0014077B">
          <w:rPr>
            <w:rStyle w:val="Hyperlink"/>
            <w:rFonts w:ascii="Arial" w:hAnsi="Arial" w:cs="Arial"/>
            <w:i/>
            <w:iCs/>
            <w:lang w:val="es-US"/>
          </w:rPr>
          <w:t>Journal</w:t>
        </w:r>
        <w:proofErr w:type="spellEnd"/>
        <w:r w:rsidRPr="0014077B">
          <w:rPr>
            <w:rStyle w:val="Hyperlink"/>
            <w:rFonts w:ascii="Arial" w:hAnsi="Arial" w:cs="Arial"/>
            <w:i/>
            <w:iCs/>
            <w:lang w:val="es-US"/>
          </w:rPr>
          <w:t xml:space="preserve"> </w:t>
        </w:r>
        <w:proofErr w:type="spellStart"/>
        <w:r w:rsidRPr="0014077B">
          <w:rPr>
            <w:rStyle w:val="Hyperlink"/>
            <w:rFonts w:ascii="Arial" w:hAnsi="Arial" w:cs="Arial"/>
            <w:i/>
            <w:iCs/>
            <w:lang w:val="es-US"/>
          </w:rPr>
          <w:t>of</w:t>
        </w:r>
        <w:proofErr w:type="spellEnd"/>
        <w:r w:rsidRPr="0014077B">
          <w:rPr>
            <w:rStyle w:val="Hyperlink"/>
            <w:rFonts w:ascii="Arial" w:hAnsi="Arial" w:cs="Arial"/>
            <w:i/>
            <w:iCs/>
            <w:lang w:val="es-US"/>
          </w:rPr>
          <w:t xml:space="preserve"> </w:t>
        </w:r>
        <w:proofErr w:type="spellStart"/>
        <w:r w:rsidRPr="0014077B">
          <w:rPr>
            <w:rStyle w:val="Hyperlink"/>
            <w:rFonts w:ascii="Arial" w:hAnsi="Arial" w:cs="Arial"/>
            <w:i/>
            <w:iCs/>
            <w:lang w:val="es-US"/>
          </w:rPr>
          <w:t>Dermatology</w:t>
        </w:r>
        <w:proofErr w:type="spellEnd"/>
        <w:r w:rsidRPr="0014077B">
          <w:rPr>
            <w:rStyle w:val="Hyperlink"/>
            <w:rFonts w:ascii="Arial" w:hAnsi="Arial" w:cs="Arial"/>
            <w:lang w:val="es-US"/>
          </w:rPr>
          <w:t xml:space="preserve"> en 2019</w:t>
        </w:r>
      </w:hyperlink>
      <w:r w:rsidRPr="0014077B">
        <w:rPr>
          <w:rFonts w:ascii="Arial" w:hAnsi="Arial" w:cs="Arial"/>
          <w:lang w:val="es-US"/>
        </w:rPr>
        <w:t xml:space="preserve"> y en </w:t>
      </w:r>
      <w:hyperlink r:id="rId15" w:history="1">
        <w:r w:rsidRPr="0014077B">
          <w:rPr>
            <w:rStyle w:val="Hyperlink"/>
            <w:rFonts w:ascii="Arial" w:hAnsi="Arial" w:cs="Arial"/>
            <w:lang w:val="es-US"/>
          </w:rPr>
          <w:t xml:space="preserve">la revista </w:t>
        </w:r>
        <w:r w:rsidRPr="0014077B">
          <w:rPr>
            <w:rStyle w:val="Hyperlink"/>
            <w:rFonts w:ascii="Arial" w:hAnsi="Arial" w:cs="Arial"/>
            <w:i/>
            <w:iCs/>
            <w:lang w:val="es-US"/>
          </w:rPr>
          <w:t xml:space="preserve">American </w:t>
        </w:r>
        <w:proofErr w:type="spellStart"/>
        <w:r w:rsidRPr="0014077B">
          <w:rPr>
            <w:rStyle w:val="Hyperlink"/>
            <w:rFonts w:ascii="Arial" w:hAnsi="Arial" w:cs="Arial"/>
            <w:i/>
            <w:iCs/>
            <w:lang w:val="es-US"/>
          </w:rPr>
          <w:t>Journal</w:t>
        </w:r>
        <w:proofErr w:type="spellEnd"/>
        <w:r w:rsidRPr="0014077B">
          <w:rPr>
            <w:rStyle w:val="Hyperlink"/>
            <w:rFonts w:ascii="Arial" w:hAnsi="Arial" w:cs="Arial"/>
            <w:i/>
            <w:iCs/>
            <w:lang w:val="es-US"/>
          </w:rPr>
          <w:t xml:space="preserve"> </w:t>
        </w:r>
        <w:proofErr w:type="spellStart"/>
        <w:r w:rsidRPr="0014077B">
          <w:rPr>
            <w:rStyle w:val="Hyperlink"/>
            <w:rFonts w:ascii="Arial" w:hAnsi="Arial" w:cs="Arial"/>
            <w:i/>
            <w:iCs/>
            <w:lang w:val="es-US"/>
          </w:rPr>
          <w:t>of</w:t>
        </w:r>
        <w:proofErr w:type="spellEnd"/>
        <w:r w:rsidRPr="0014077B">
          <w:rPr>
            <w:rStyle w:val="Hyperlink"/>
            <w:rFonts w:ascii="Arial" w:hAnsi="Arial" w:cs="Arial"/>
            <w:i/>
            <w:iCs/>
            <w:lang w:val="es-US"/>
          </w:rPr>
          <w:t xml:space="preserve"> </w:t>
        </w:r>
        <w:proofErr w:type="spellStart"/>
        <w:r w:rsidRPr="0014077B">
          <w:rPr>
            <w:rStyle w:val="Hyperlink"/>
            <w:rFonts w:ascii="Arial" w:hAnsi="Arial" w:cs="Arial"/>
            <w:i/>
            <w:iCs/>
            <w:lang w:val="es-US"/>
          </w:rPr>
          <w:t>Clinical</w:t>
        </w:r>
        <w:proofErr w:type="spellEnd"/>
        <w:r w:rsidRPr="0014077B">
          <w:rPr>
            <w:rStyle w:val="Hyperlink"/>
            <w:rFonts w:ascii="Arial" w:hAnsi="Arial" w:cs="Arial"/>
            <w:i/>
            <w:iCs/>
            <w:lang w:val="es-US"/>
          </w:rPr>
          <w:t xml:space="preserve"> </w:t>
        </w:r>
        <w:proofErr w:type="spellStart"/>
        <w:r w:rsidRPr="0014077B">
          <w:rPr>
            <w:rStyle w:val="Hyperlink"/>
            <w:rFonts w:ascii="Arial" w:hAnsi="Arial" w:cs="Arial"/>
            <w:i/>
            <w:iCs/>
            <w:lang w:val="es-US"/>
          </w:rPr>
          <w:t>Dermatology</w:t>
        </w:r>
        <w:proofErr w:type="spellEnd"/>
        <w:r w:rsidRPr="0014077B">
          <w:rPr>
            <w:rStyle w:val="Hyperlink"/>
            <w:rFonts w:ascii="Arial" w:hAnsi="Arial" w:cs="Arial"/>
            <w:lang w:val="es-US"/>
          </w:rPr>
          <w:t xml:space="preserve"> en 2023</w:t>
        </w:r>
      </w:hyperlink>
      <w:r w:rsidRPr="0014077B">
        <w:rPr>
          <w:rFonts w:ascii="Arial" w:hAnsi="Arial" w:cs="Arial"/>
          <w:lang w:val="es-US"/>
        </w:rPr>
        <w:t>.</w:t>
      </w:r>
    </w:p>
    <w:p w14:paraId="63A25E97" w14:textId="17438152" w:rsidR="00433FC3" w:rsidRPr="0014077B" w:rsidRDefault="00433FC3" w:rsidP="00A14735">
      <w:pPr>
        <w:spacing w:line="245" w:lineRule="auto"/>
        <w:rPr>
          <w:rFonts w:ascii="Arial" w:hAnsi="Arial" w:cs="Arial"/>
          <w:i/>
          <w:iCs/>
          <w:lang w:val="es-AR"/>
        </w:rPr>
      </w:pPr>
      <w:r w:rsidRPr="0014077B">
        <w:rPr>
          <w:rFonts w:ascii="Arial" w:hAnsi="Arial" w:cs="Arial"/>
          <w:i/>
          <w:iCs/>
        </w:rPr>
        <w:t xml:space="preserve">Annika </w:t>
      </w:r>
      <w:proofErr w:type="spellStart"/>
      <w:r w:rsidRPr="0014077B">
        <w:rPr>
          <w:rFonts w:ascii="Arial" w:hAnsi="Arial" w:cs="Arial"/>
          <w:i/>
          <w:iCs/>
        </w:rPr>
        <w:t>Silfvast</w:t>
      </w:r>
      <w:proofErr w:type="spellEnd"/>
      <w:r w:rsidRPr="0014077B">
        <w:rPr>
          <w:rFonts w:ascii="Arial" w:hAnsi="Arial" w:cs="Arial"/>
          <w:i/>
          <w:iCs/>
        </w:rPr>
        <w:t xml:space="preserve">-Kaiser, Ronnie Youssef, So Yeon Paek. Diet in hidradenitis suppurativa: a review of published and lay literature. </w:t>
      </w:r>
      <w:proofErr w:type="spellStart"/>
      <w:r w:rsidRPr="0014077B">
        <w:rPr>
          <w:rFonts w:ascii="Arial" w:hAnsi="Arial" w:cs="Arial"/>
          <w:i/>
          <w:iCs/>
          <w:lang w:val="es-US"/>
        </w:rPr>
        <w:t>Int</w:t>
      </w:r>
      <w:proofErr w:type="spellEnd"/>
      <w:r w:rsidRPr="0014077B">
        <w:rPr>
          <w:rFonts w:ascii="Arial" w:hAnsi="Arial" w:cs="Arial"/>
          <w:i/>
          <w:iCs/>
          <w:lang w:val="es-US"/>
        </w:rPr>
        <w:t xml:space="preserve"> J </w:t>
      </w:r>
      <w:proofErr w:type="spellStart"/>
      <w:r w:rsidRPr="0014077B">
        <w:rPr>
          <w:rFonts w:ascii="Arial" w:hAnsi="Arial" w:cs="Arial"/>
          <w:i/>
          <w:iCs/>
          <w:lang w:val="es-US"/>
        </w:rPr>
        <w:t>Dermatol</w:t>
      </w:r>
      <w:proofErr w:type="spellEnd"/>
      <w:r w:rsidRPr="0014077B">
        <w:rPr>
          <w:rFonts w:ascii="Arial" w:hAnsi="Arial" w:cs="Arial"/>
          <w:i/>
          <w:iCs/>
          <w:lang w:val="es-US"/>
        </w:rPr>
        <w:t xml:space="preserve">. Noviembre de 2019; 58(11):1225-1230. </w:t>
      </w:r>
      <w:proofErr w:type="spellStart"/>
      <w:r w:rsidRPr="0014077B">
        <w:rPr>
          <w:rFonts w:ascii="Arial" w:hAnsi="Arial" w:cs="Arial"/>
          <w:i/>
          <w:iCs/>
          <w:lang w:val="es-US"/>
        </w:rPr>
        <w:t>doi</w:t>
      </w:r>
      <w:proofErr w:type="spellEnd"/>
      <w:r w:rsidRPr="0014077B">
        <w:rPr>
          <w:rFonts w:ascii="Arial" w:hAnsi="Arial" w:cs="Arial"/>
          <w:i/>
          <w:iCs/>
          <w:lang w:val="es-US"/>
        </w:rPr>
        <w:t>: 10.1111/ijd.14465. Publicación electrónica del 21 de abril de 2019.</w:t>
      </w:r>
    </w:p>
    <w:p w14:paraId="6713B333" w14:textId="1BE0A8C5" w:rsidR="00433FC3" w:rsidRPr="0014077B" w:rsidRDefault="00433FC3" w:rsidP="00A14735">
      <w:pPr>
        <w:spacing w:line="245" w:lineRule="auto"/>
        <w:rPr>
          <w:rFonts w:ascii="Arial" w:hAnsi="Arial" w:cs="Arial"/>
          <w:i/>
          <w:iCs/>
          <w:lang w:val="es-AR"/>
        </w:rPr>
      </w:pPr>
      <w:r w:rsidRPr="0014077B">
        <w:rPr>
          <w:rFonts w:ascii="Arial" w:hAnsi="Arial" w:cs="Arial"/>
          <w:i/>
          <w:iCs/>
        </w:rPr>
        <w:t xml:space="preserve">Isaac Weber, Josie Giefer, Kari L Martin. Effects of Exercise and Dietary Modifications on Hidradenitis Suppurativa: A Systematic Review. </w:t>
      </w:r>
      <w:r w:rsidRPr="0014077B">
        <w:rPr>
          <w:rFonts w:ascii="Arial" w:hAnsi="Arial" w:cs="Arial"/>
          <w:i/>
          <w:iCs/>
          <w:lang w:val="es-US"/>
        </w:rPr>
        <w:t xml:space="preserve">Am J Clin </w:t>
      </w:r>
      <w:proofErr w:type="spellStart"/>
      <w:r w:rsidRPr="0014077B">
        <w:rPr>
          <w:rFonts w:ascii="Arial" w:hAnsi="Arial" w:cs="Arial"/>
          <w:i/>
          <w:iCs/>
          <w:lang w:val="es-US"/>
        </w:rPr>
        <w:t>Dermatol</w:t>
      </w:r>
      <w:proofErr w:type="spellEnd"/>
      <w:r w:rsidRPr="0014077B">
        <w:rPr>
          <w:rFonts w:ascii="Arial" w:hAnsi="Arial" w:cs="Arial"/>
          <w:i/>
          <w:iCs/>
          <w:lang w:val="es-US"/>
        </w:rPr>
        <w:t>. Mayo de 2023; 24(3):</w:t>
      </w:r>
      <w:r w:rsidR="00A14735" w:rsidRPr="0014077B">
        <w:rPr>
          <w:rFonts w:ascii="Arial" w:hAnsi="Arial" w:cs="Arial"/>
          <w:i/>
          <w:iCs/>
          <w:lang w:val="es-US"/>
        </w:rPr>
        <w:br/>
      </w:r>
      <w:r w:rsidRPr="0014077B">
        <w:rPr>
          <w:rFonts w:ascii="Arial" w:hAnsi="Arial" w:cs="Arial"/>
          <w:i/>
          <w:iCs/>
          <w:lang w:val="es-US"/>
        </w:rPr>
        <w:t xml:space="preserve">343-357. </w:t>
      </w:r>
      <w:proofErr w:type="spellStart"/>
      <w:r w:rsidRPr="0014077B">
        <w:rPr>
          <w:rFonts w:ascii="Arial" w:hAnsi="Arial" w:cs="Arial"/>
          <w:i/>
          <w:iCs/>
          <w:lang w:val="es-US"/>
        </w:rPr>
        <w:t>doi</w:t>
      </w:r>
      <w:proofErr w:type="spellEnd"/>
      <w:r w:rsidRPr="0014077B">
        <w:rPr>
          <w:rFonts w:ascii="Arial" w:hAnsi="Arial" w:cs="Arial"/>
          <w:i/>
          <w:iCs/>
          <w:lang w:val="es-US"/>
        </w:rPr>
        <w:t>: 10.1007/s40257-023-00756-w. Publicación electrónica del 9 de febrero de 2023.</w:t>
      </w:r>
    </w:p>
    <w:p w14:paraId="79CE9E64" w14:textId="77777777" w:rsidR="00433FC3" w:rsidRPr="0014077B" w:rsidRDefault="00433FC3" w:rsidP="00A14735">
      <w:pPr>
        <w:spacing w:line="245" w:lineRule="auto"/>
        <w:rPr>
          <w:rFonts w:ascii="Arial" w:hAnsi="Arial" w:cs="Arial"/>
          <w:lang w:val="es-AR"/>
        </w:rPr>
      </w:pPr>
    </w:p>
    <w:p w14:paraId="1A59DAA7" w14:textId="04FF6AD9" w:rsidR="00433FC3" w:rsidRPr="0014077B" w:rsidRDefault="00433FC3" w:rsidP="00A14735">
      <w:pPr>
        <w:spacing w:line="245" w:lineRule="auto"/>
        <w:rPr>
          <w:rFonts w:ascii="Arial" w:hAnsi="Arial" w:cs="Arial"/>
          <w:color w:val="184CB4"/>
          <w:sz w:val="28"/>
          <w:szCs w:val="28"/>
          <w:lang w:val="es-AR"/>
        </w:rPr>
      </w:pPr>
    </w:p>
    <w:p w14:paraId="26281C8E" w14:textId="3223A0E8" w:rsidR="006F013D" w:rsidRPr="0014077B" w:rsidRDefault="006F013D" w:rsidP="00A14735">
      <w:pPr>
        <w:spacing w:after="0" w:line="245" w:lineRule="auto"/>
        <w:rPr>
          <w:rFonts w:ascii="Arial" w:hAnsi="Arial" w:cs="Arial"/>
          <w:b/>
          <w:bCs/>
          <w:sz w:val="24"/>
          <w:szCs w:val="24"/>
        </w:rPr>
      </w:pPr>
    </w:p>
    <w:sectPr w:rsidR="006F013D" w:rsidRPr="0014077B">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E2B403" w14:textId="77777777" w:rsidR="0073704B" w:rsidRDefault="0073704B" w:rsidP="00676AA1">
      <w:pPr>
        <w:spacing w:after="0" w:line="240" w:lineRule="auto"/>
      </w:pPr>
      <w:r>
        <w:separator/>
      </w:r>
    </w:p>
  </w:endnote>
  <w:endnote w:type="continuationSeparator" w:id="0">
    <w:p w14:paraId="713BEB9D" w14:textId="77777777" w:rsidR="0073704B" w:rsidRDefault="0073704B" w:rsidP="00676A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3F71B" w14:textId="67CA3176" w:rsidR="00676AA1" w:rsidRDefault="00A14735">
    <w:pPr>
      <w:pStyle w:val="Footer"/>
    </w:pPr>
    <w:r>
      <w:rPr>
        <w:rFonts w:ascii="Arial" w:hAnsi="Arial" w:cs="Arial"/>
        <w:noProof/>
        <w:lang w:val="es-AR"/>
      </w:rPr>
      <mc:AlternateContent>
        <mc:Choice Requires="wpg">
          <w:drawing>
            <wp:anchor distT="0" distB="0" distL="114300" distR="114300" simplePos="0" relativeHeight="251659264" behindDoc="0" locked="0" layoutInCell="1" allowOverlap="1" wp14:anchorId="52D87387" wp14:editId="2C57F903">
              <wp:simplePos x="0" y="0"/>
              <wp:positionH relativeFrom="column">
                <wp:posOffset>-914400</wp:posOffset>
              </wp:positionH>
              <wp:positionV relativeFrom="paragraph">
                <wp:posOffset>-20901</wp:posOffset>
              </wp:positionV>
              <wp:extent cx="12192000" cy="816962"/>
              <wp:effectExtent l="0" t="38100" r="25400" b="0"/>
              <wp:wrapNone/>
              <wp:docPr id="1839766235" name="Grupo 1"/>
              <wp:cNvGraphicFramePr/>
              <a:graphic xmlns:a="http://schemas.openxmlformats.org/drawingml/2006/main">
                <a:graphicData uri="http://schemas.microsoft.com/office/word/2010/wordprocessingGroup">
                  <wpg:wgp>
                    <wpg:cNvGrpSpPr/>
                    <wpg:grpSpPr>
                      <a:xfrm>
                        <a:off x="0" y="0"/>
                        <a:ext cx="12192000" cy="816962"/>
                        <a:chOff x="0" y="0"/>
                        <a:chExt cx="12192000" cy="816962"/>
                      </a:xfrm>
                    </wpg:grpSpPr>
                    <wps:wsp>
                      <wps:cNvPr id="422146583" name="Rectangle 9"/>
                      <wps:cNvSpPr>
                        <a:spLocks/>
                      </wps:cNvSpPr>
                      <wps:spPr>
                        <a:xfrm>
                          <a:off x="0" y="39722"/>
                          <a:ext cx="12192000" cy="777240"/>
                        </a:xfrm>
                        <a:prstGeom prst="rect">
                          <a:avLst/>
                        </a:prstGeom>
                        <a:gradFill>
                          <a:gsLst>
                            <a:gs pos="17000">
                              <a:srgbClr val="0C53CD"/>
                            </a:gs>
                            <a:gs pos="100000">
                              <a:srgbClr val="8A05CE"/>
                            </a:gs>
                          </a:gsLst>
                          <a:lin ang="2700000" scaled="0"/>
                        </a:gra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961857880" name="Straight Connector 8"/>
                      <wps:cNvCnPr>
                        <a:cxnSpLocks/>
                      </wps:cNvCnPr>
                      <wps:spPr>
                        <a:xfrm>
                          <a:off x="0" y="0"/>
                          <a:ext cx="12192000" cy="0"/>
                        </a:xfrm>
                        <a:prstGeom prst="line">
                          <a:avLst/>
                        </a:prstGeom>
                        <a:ln w="76200">
                          <a:solidFill>
                            <a:srgbClr val="F4D038"/>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039BAAC7" id="Grupo 1" o:spid="_x0000_s1026" style="position:absolute;margin-left:-1in;margin-top:-1.65pt;width:960pt;height:64.35pt;z-index:251659264" coordsize="121920,81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">
              <v:rect id="Rectangle 9" o:spid="_x0000_s1027" style="position:absolute;top:397;width:121920;height:77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" fillcolor="#0c53cd" stroked="f" strokeweight="1pt">
                <v:fill color2="#8a05ce" angle="45" colors="0 #0c53cd;11141f #0c53cd" focus="100%" type="gradient">
                  <o:fill v:ext="view" type="gradientUnscaled"/>
                </v:fill>
              </v:rect>
              <v:line id="Straight Connector 8" o:spid="_x0000_s1028" style="position:absolute;visibility:visible;mso-wrap-style:square" from="0,0" to="1219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" strokecolor="#f4d038" strokeweight="6pt">
                <v:stroke joinstyle="miter"/>
                <o:lock v:ext="edit" shapetype="f"/>
              </v:line>
            </v:group>
          </w:pict>
        </mc:Fallback>
      </mc:AlternateContent>
    </w:r>
  </w:p>
  <w:p w14:paraId="4E42423B" w14:textId="77777777" w:rsidR="00676AA1" w:rsidRDefault="00676A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1F6DC9" w14:textId="77777777" w:rsidR="0073704B" w:rsidRDefault="0073704B" w:rsidP="00676AA1">
      <w:pPr>
        <w:spacing w:after="0" w:line="240" w:lineRule="auto"/>
      </w:pPr>
      <w:r>
        <w:separator/>
      </w:r>
    </w:p>
  </w:footnote>
  <w:footnote w:type="continuationSeparator" w:id="0">
    <w:p w14:paraId="26279FFB" w14:textId="77777777" w:rsidR="0073704B" w:rsidRDefault="0073704B" w:rsidP="00676A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355875"/>
    <w:multiLevelType w:val="hybridMultilevel"/>
    <w:tmpl w:val="9FC02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BC36FF8"/>
    <w:multiLevelType w:val="hybridMultilevel"/>
    <w:tmpl w:val="AC48C226"/>
    <w:lvl w:ilvl="0" w:tplc="B0180004">
      <w:start w:val="1"/>
      <w:numFmt w:val="bullet"/>
      <w:lvlText w:val="•"/>
      <w:lvlJc w:val="left"/>
      <w:pPr>
        <w:tabs>
          <w:tab w:val="num" w:pos="720"/>
        </w:tabs>
        <w:ind w:left="720" w:hanging="360"/>
      </w:pPr>
      <w:rPr>
        <w:rFonts w:ascii="Arial" w:hAnsi="Arial" w:hint="default"/>
      </w:rPr>
    </w:lvl>
    <w:lvl w:ilvl="1" w:tplc="09DEDC24" w:tentative="1">
      <w:start w:val="1"/>
      <w:numFmt w:val="bullet"/>
      <w:lvlText w:val="•"/>
      <w:lvlJc w:val="left"/>
      <w:pPr>
        <w:tabs>
          <w:tab w:val="num" w:pos="1440"/>
        </w:tabs>
        <w:ind w:left="1440" w:hanging="360"/>
      </w:pPr>
      <w:rPr>
        <w:rFonts w:ascii="Arial" w:hAnsi="Arial" w:hint="default"/>
      </w:rPr>
    </w:lvl>
    <w:lvl w:ilvl="2" w:tplc="E89C4EA2" w:tentative="1">
      <w:start w:val="1"/>
      <w:numFmt w:val="bullet"/>
      <w:lvlText w:val="•"/>
      <w:lvlJc w:val="left"/>
      <w:pPr>
        <w:tabs>
          <w:tab w:val="num" w:pos="2160"/>
        </w:tabs>
        <w:ind w:left="2160" w:hanging="360"/>
      </w:pPr>
      <w:rPr>
        <w:rFonts w:ascii="Arial" w:hAnsi="Arial" w:hint="default"/>
      </w:rPr>
    </w:lvl>
    <w:lvl w:ilvl="3" w:tplc="1690051E" w:tentative="1">
      <w:start w:val="1"/>
      <w:numFmt w:val="bullet"/>
      <w:lvlText w:val="•"/>
      <w:lvlJc w:val="left"/>
      <w:pPr>
        <w:tabs>
          <w:tab w:val="num" w:pos="2880"/>
        </w:tabs>
        <w:ind w:left="2880" w:hanging="360"/>
      </w:pPr>
      <w:rPr>
        <w:rFonts w:ascii="Arial" w:hAnsi="Arial" w:hint="default"/>
      </w:rPr>
    </w:lvl>
    <w:lvl w:ilvl="4" w:tplc="AB1CF428" w:tentative="1">
      <w:start w:val="1"/>
      <w:numFmt w:val="bullet"/>
      <w:lvlText w:val="•"/>
      <w:lvlJc w:val="left"/>
      <w:pPr>
        <w:tabs>
          <w:tab w:val="num" w:pos="3600"/>
        </w:tabs>
        <w:ind w:left="3600" w:hanging="360"/>
      </w:pPr>
      <w:rPr>
        <w:rFonts w:ascii="Arial" w:hAnsi="Arial" w:hint="default"/>
      </w:rPr>
    </w:lvl>
    <w:lvl w:ilvl="5" w:tplc="46C66EF8" w:tentative="1">
      <w:start w:val="1"/>
      <w:numFmt w:val="bullet"/>
      <w:lvlText w:val="•"/>
      <w:lvlJc w:val="left"/>
      <w:pPr>
        <w:tabs>
          <w:tab w:val="num" w:pos="4320"/>
        </w:tabs>
        <w:ind w:left="4320" w:hanging="360"/>
      </w:pPr>
      <w:rPr>
        <w:rFonts w:ascii="Arial" w:hAnsi="Arial" w:hint="default"/>
      </w:rPr>
    </w:lvl>
    <w:lvl w:ilvl="6" w:tplc="9FE0D840" w:tentative="1">
      <w:start w:val="1"/>
      <w:numFmt w:val="bullet"/>
      <w:lvlText w:val="•"/>
      <w:lvlJc w:val="left"/>
      <w:pPr>
        <w:tabs>
          <w:tab w:val="num" w:pos="5040"/>
        </w:tabs>
        <w:ind w:left="5040" w:hanging="360"/>
      </w:pPr>
      <w:rPr>
        <w:rFonts w:ascii="Arial" w:hAnsi="Arial" w:hint="default"/>
      </w:rPr>
    </w:lvl>
    <w:lvl w:ilvl="7" w:tplc="C21E90A4" w:tentative="1">
      <w:start w:val="1"/>
      <w:numFmt w:val="bullet"/>
      <w:lvlText w:val="•"/>
      <w:lvlJc w:val="left"/>
      <w:pPr>
        <w:tabs>
          <w:tab w:val="num" w:pos="5760"/>
        </w:tabs>
        <w:ind w:left="5760" w:hanging="360"/>
      </w:pPr>
      <w:rPr>
        <w:rFonts w:ascii="Arial" w:hAnsi="Arial" w:hint="default"/>
      </w:rPr>
    </w:lvl>
    <w:lvl w:ilvl="8" w:tplc="4B40335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790E61CC"/>
    <w:multiLevelType w:val="hybridMultilevel"/>
    <w:tmpl w:val="13029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1752983">
    <w:abstractNumId w:val="1"/>
  </w:num>
  <w:num w:numId="2" w16cid:durableId="1738477614">
    <w:abstractNumId w:val="2"/>
  </w:num>
  <w:num w:numId="3" w16cid:durableId="16636534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13D"/>
    <w:rsid w:val="00114E74"/>
    <w:rsid w:val="00117C3A"/>
    <w:rsid w:val="0014077B"/>
    <w:rsid w:val="003B492E"/>
    <w:rsid w:val="003E448F"/>
    <w:rsid w:val="00433FC3"/>
    <w:rsid w:val="00465010"/>
    <w:rsid w:val="004A3F06"/>
    <w:rsid w:val="00556DA9"/>
    <w:rsid w:val="005C5BD3"/>
    <w:rsid w:val="005D4330"/>
    <w:rsid w:val="00676AA1"/>
    <w:rsid w:val="00691DC4"/>
    <w:rsid w:val="00692A79"/>
    <w:rsid w:val="006F013D"/>
    <w:rsid w:val="0073704B"/>
    <w:rsid w:val="007C4957"/>
    <w:rsid w:val="00956AED"/>
    <w:rsid w:val="00971CEC"/>
    <w:rsid w:val="00987238"/>
    <w:rsid w:val="009A7DEC"/>
    <w:rsid w:val="00A14735"/>
    <w:rsid w:val="00A669F4"/>
    <w:rsid w:val="00AF139F"/>
    <w:rsid w:val="00DB27A5"/>
    <w:rsid w:val="00DD03B3"/>
    <w:rsid w:val="00E54DB5"/>
    <w:rsid w:val="00EB1375"/>
    <w:rsid w:val="00ED269D"/>
    <w:rsid w:val="00EF29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55D89F"/>
  <w15:chartTrackingRefBased/>
  <w15:docId w15:val="{0D819D91-8273-49F3-AA61-2D241C486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013D"/>
    <w:rPr>
      <w:rFonts w:eastAsiaTheme="minorEastAsia"/>
      <w:kern w:val="0"/>
      <w:lang w:eastAsia="zh-TW"/>
    </w:rPr>
  </w:style>
  <w:style w:type="paragraph" w:styleId="Heading1">
    <w:name w:val="heading 1"/>
    <w:basedOn w:val="Normal"/>
    <w:next w:val="Normal"/>
    <w:link w:val="Heading1Char"/>
    <w:uiPriority w:val="9"/>
    <w:qFormat/>
    <w:rsid w:val="006F01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01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01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01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01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01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01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01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01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01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01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01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01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01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01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01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01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013D"/>
    <w:rPr>
      <w:rFonts w:eastAsiaTheme="majorEastAsia" w:cstheme="majorBidi"/>
      <w:color w:val="272727" w:themeColor="text1" w:themeTint="D8"/>
    </w:rPr>
  </w:style>
  <w:style w:type="paragraph" w:styleId="Title">
    <w:name w:val="Title"/>
    <w:basedOn w:val="Normal"/>
    <w:next w:val="Normal"/>
    <w:link w:val="TitleChar"/>
    <w:uiPriority w:val="10"/>
    <w:qFormat/>
    <w:rsid w:val="006F01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01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01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01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013D"/>
    <w:pPr>
      <w:spacing w:before="160"/>
      <w:jc w:val="center"/>
    </w:pPr>
    <w:rPr>
      <w:i/>
      <w:iCs/>
      <w:color w:val="404040" w:themeColor="text1" w:themeTint="BF"/>
    </w:rPr>
  </w:style>
  <w:style w:type="character" w:customStyle="1" w:styleId="QuoteChar">
    <w:name w:val="Quote Char"/>
    <w:basedOn w:val="DefaultParagraphFont"/>
    <w:link w:val="Quote"/>
    <w:uiPriority w:val="29"/>
    <w:rsid w:val="006F013D"/>
    <w:rPr>
      <w:i/>
      <w:iCs/>
      <w:color w:val="404040" w:themeColor="text1" w:themeTint="BF"/>
    </w:rPr>
  </w:style>
  <w:style w:type="paragraph" w:styleId="ListParagraph">
    <w:name w:val="List Paragraph"/>
    <w:basedOn w:val="Normal"/>
    <w:uiPriority w:val="34"/>
    <w:qFormat/>
    <w:rsid w:val="006F013D"/>
    <w:pPr>
      <w:ind w:left="720"/>
      <w:contextualSpacing/>
    </w:pPr>
  </w:style>
  <w:style w:type="character" w:styleId="IntenseEmphasis">
    <w:name w:val="Intense Emphasis"/>
    <w:basedOn w:val="DefaultParagraphFont"/>
    <w:uiPriority w:val="21"/>
    <w:qFormat/>
    <w:rsid w:val="006F013D"/>
    <w:rPr>
      <w:i/>
      <w:iCs/>
      <w:color w:val="0F4761" w:themeColor="accent1" w:themeShade="BF"/>
    </w:rPr>
  </w:style>
  <w:style w:type="paragraph" w:styleId="IntenseQuote">
    <w:name w:val="Intense Quote"/>
    <w:basedOn w:val="Normal"/>
    <w:next w:val="Normal"/>
    <w:link w:val="IntenseQuoteChar"/>
    <w:uiPriority w:val="30"/>
    <w:qFormat/>
    <w:rsid w:val="006F01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013D"/>
    <w:rPr>
      <w:i/>
      <w:iCs/>
      <w:color w:val="0F4761" w:themeColor="accent1" w:themeShade="BF"/>
    </w:rPr>
  </w:style>
  <w:style w:type="character" w:styleId="IntenseReference">
    <w:name w:val="Intense Reference"/>
    <w:basedOn w:val="DefaultParagraphFont"/>
    <w:uiPriority w:val="32"/>
    <w:qFormat/>
    <w:rsid w:val="006F013D"/>
    <w:rPr>
      <w:b/>
      <w:bCs/>
      <w:smallCaps/>
      <w:color w:val="0F4761" w:themeColor="accent1" w:themeShade="BF"/>
      <w:spacing w:val="5"/>
    </w:rPr>
  </w:style>
  <w:style w:type="paragraph" w:styleId="Header">
    <w:name w:val="header"/>
    <w:basedOn w:val="Normal"/>
    <w:link w:val="HeaderChar"/>
    <w:uiPriority w:val="99"/>
    <w:unhideWhenUsed/>
    <w:rsid w:val="00676A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6AA1"/>
    <w:rPr>
      <w:rFonts w:eastAsiaTheme="minorEastAsia"/>
      <w:kern w:val="0"/>
      <w:lang w:eastAsia="zh-TW"/>
    </w:rPr>
  </w:style>
  <w:style w:type="paragraph" w:styleId="Footer">
    <w:name w:val="footer"/>
    <w:basedOn w:val="Normal"/>
    <w:link w:val="FooterChar"/>
    <w:uiPriority w:val="99"/>
    <w:unhideWhenUsed/>
    <w:rsid w:val="00676A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6AA1"/>
    <w:rPr>
      <w:rFonts w:eastAsiaTheme="minorEastAsia"/>
      <w:kern w:val="0"/>
      <w:lang w:eastAsia="zh-TW"/>
    </w:rPr>
  </w:style>
  <w:style w:type="character" w:styleId="CommentReference">
    <w:name w:val="annotation reference"/>
    <w:basedOn w:val="DefaultParagraphFont"/>
    <w:uiPriority w:val="99"/>
    <w:semiHidden/>
    <w:unhideWhenUsed/>
    <w:rsid w:val="00433FC3"/>
    <w:rPr>
      <w:sz w:val="16"/>
      <w:szCs w:val="16"/>
    </w:rPr>
  </w:style>
  <w:style w:type="paragraph" w:styleId="CommentText">
    <w:name w:val="annotation text"/>
    <w:basedOn w:val="Normal"/>
    <w:link w:val="CommentTextChar"/>
    <w:uiPriority w:val="99"/>
    <w:unhideWhenUsed/>
    <w:rsid w:val="00433FC3"/>
    <w:pPr>
      <w:spacing w:line="240" w:lineRule="auto"/>
    </w:pPr>
    <w:rPr>
      <w:sz w:val="20"/>
      <w:szCs w:val="20"/>
      <w14:ligatures w14:val="none"/>
    </w:rPr>
  </w:style>
  <w:style w:type="character" w:customStyle="1" w:styleId="CommentTextChar">
    <w:name w:val="Comment Text Char"/>
    <w:basedOn w:val="DefaultParagraphFont"/>
    <w:link w:val="CommentText"/>
    <w:uiPriority w:val="99"/>
    <w:rsid w:val="00433FC3"/>
    <w:rPr>
      <w:rFonts w:eastAsiaTheme="minorEastAsia"/>
      <w:kern w:val="0"/>
      <w:sz w:val="20"/>
      <w:szCs w:val="20"/>
      <w:lang w:eastAsia="zh-TW"/>
      <w14:ligatures w14:val="none"/>
    </w:rPr>
  </w:style>
  <w:style w:type="character" w:styleId="Hyperlink">
    <w:name w:val="Hyperlink"/>
    <w:basedOn w:val="DefaultParagraphFont"/>
    <w:uiPriority w:val="99"/>
    <w:unhideWhenUsed/>
    <w:rsid w:val="00433FC3"/>
    <w:rPr>
      <w:color w:val="467886" w:themeColor="hyperlink"/>
      <w:u w:val="single"/>
    </w:rPr>
  </w:style>
  <w:style w:type="paragraph" w:styleId="Revision">
    <w:name w:val="Revision"/>
    <w:hidden/>
    <w:uiPriority w:val="99"/>
    <w:semiHidden/>
    <w:rsid w:val="0014077B"/>
    <w:pPr>
      <w:spacing w:after="0" w:line="240" w:lineRule="auto"/>
    </w:pPr>
    <w:rPr>
      <w:rFonts w:eastAsiaTheme="minorEastAsia"/>
      <w:kern w:val="0"/>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rmnetnz.org/topics/hidradenitis-suppurativa-severity-assessment" TargetMode="External"/><Relationship Id="rId13" Type="http://schemas.openxmlformats.org/officeDocument/2006/relationships/hyperlink" Target="https://doi.org/10.1111/bjd.19926"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academic.oup.com/bjd/article-abstract/185/1/225/6600458?redirectedFrom=fulltext&amp;login=fals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jaad.org/article/S0190-9622(19)32827-0/fulltext" TargetMode="External"/><Relationship Id="rId5" Type="http://schemas.openxmlformats.org/officeDocument/2006/relationships/footnotes" Target="footnotes.xml"/><Relationship Id="rId15" Type="http://schemas.openxmlformats.org/officeDocument/2006/relationships/hyperlink" Target="https://link.springer.com/article/10.1007/s40257-023-00756-w" TargetMode="External"/><Relationship Id="rId10" Type="http://schemas.openxmlformats.org/officeDocument/2006/relationships/hyperlink" Target="https://www.ncbi.nlm.nih.gov/pmc/articles/PMC8060662/" TargetMode="External"/><Relationship Id="rId4" Type="http://schemas.openxmlformats.org/officeDocument/2006/relationships/webSettings" Target="webSettings.xml"/><Relationship Id="rId9" Type="http://schemas.openxmlformats.org/officeDocument/2006/relationships/hyperlink" Target="https://www.hs-foundation.org/hs-symptoms" TargetMode="External"/><Relationship Id="rId14" Type="http://schemas.openxmlformats.org/officeDocument/2006/relationships/hyperlink" Target="https://onlinelibrary.wiley.com/doi/full/10.1111/ijd.144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3947</Words>
  <Characters>22500</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Rashmika Prakash</dc:creator>
  <cp:keywords/>
  <dc:description/>
  <cp:lastModifiedBy>Rashmika Prakash</cp:lastModifiedBy>
  <cp:revision>2</cp:revision>
  <cp:lastPrinted>2024-02-29T01:06:00Z</cp:lastPrinted>
  <dcterms:created xsi:type="dcterms:W3CDTF">2024-02-29T19:14:00Z</dcterms:created>
  <dcterms:modified xsi:type="dcterms:W3CDTF">2024-02-29T19:14:00Z</dcterms:modified>
</cp:coreProperties>
</file>